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39E5" w14:textId="3FE78599" w:rsidR="00915B92" w:rsidRPr="00C320DC" w:rsidRDefault="00915B92" w:rsidP="004B2ECB">
      <w:pPr>
        <w:spacing w:after="0" w:line="240" w:lineRule="auto"/>
        <w:jc w:val="center"/>
        <w:rPr>
          <w:rFonts w:ascii="Bookman Old Style" w:hAnsi="Bookman Old Style"/>
          <w:b/>
          <w:bCs/>
          <w:szCs w:val="22"/>
        </w:rPr>
      </w:pPr>
      <w:r w:rsidRPr="00C320DC">
        <w:rPr>
          <w:rFonts w:ascii="Bookman Old Style" w:hAnsi="Bookman Old Style"/>
          <w:b/>
          <w:bCs/>
          <w:szCs w:val="22"/>
        </w:rPr>
        <w:t>TRANSPARANSI HARGA OBAT DAN PROMOSI PRODUK KESEHATAN DALAM PRAKTIK BISNIS FARMASI</w:t>
      </w:r>
    </w:p>
    <w:p w14:paraId="6B4CF137" w14:textId="77777777" w:rsidR="00915B92" w:rsidRPr="00C320DC" w:rsidRDefault="00915B92" w:rsidP="004B2ECB">
      <w:pPr>
        <w:spacing w:after="0" w:line="240" w:lineRule="auto"/>
        <w:jc w:val="center"/>
        <w:rPr>
          <w:rFonts w:ascii="Bookman Old Style" w:hAnsi="Bookman Old Style"/>
          <w:b/>
          <w:bCs/>
          <w:szCs w:val="22"/>
        </w:rPr>
      </w:pPr>
    </w:p>
    <w:p w14:paraId="5B45FF41" w14:textId="0EC8EA14" w:rsidR="00915B92" w:rsidRPr="00C320DC" w:rsidRDefault="00915B92" w:rsidP="004B2ECB">
      <w:pPr>
        <w:spacing w:after="0" w:line="240" w:lineRule="auto"/>
        <w:jc w:val="center"/>
        <w:rPr>
          <w:rFonts w:ascii="Bookman Old Style" w:hAnsi="Bookman Old Style"/>
          <w:b/>
          <w:bCs/>
          <w:szCs w:val="22"/>
        </w:rPr>
      </w:pPr>
      <w:r w:rsidRPr="00C320DC">
        <w:rPr>
          <w:rFonts w:ascii="Bookman Old Style" w:hAnsi="Bookman Old Style"/>
          <w:b/>
          <w:bCs/>
          <w:szCs w:val="22"/>
        </w:rPr>
        <w:t>Oleh</w:t>
      </w:r>
    </w:p>
    <w:p w14:paraId="02ED946C" w14:textId="6F63B4B8" w:rsidR="00E949E5" w:rsidRPr="00C320DC" w:rsidRDefault="00512CCC" w:rsidP="00E949E5">
      <w:pPr>
        <w:spacing w:after="0" w:line="240" w:lineRule="auto"/>
        <w:jc w:val="center"/>
        <w:rPr>
          <w:rFonts w:ascii="Bookman Old Style" w:hAnsi="Bookman Old Style"/>
          <w:b/>
          <w:bCs/>
          <w:szCs w:val="22"/>
        </w:rPr>
      </w:pPr>
      <w:r w:rsidRPr="00C320DC">
        <w:rPr>
          <w:rFonts w:ascii="Bookman Old Style" w:hAnsi="Bookman Old Style"/>
          <w:b/>
          <w:bCs/>
          <w:szCs w:val="22"/>
        </w:rPr>
        <w:t>Rafadi Khan Khayru, I Gede Restu Gowinda Paramananda, Didit Darmawan, Muhammad Bhirawa Ajendra Rahma, Akhmad Munaji</w:t>
      </w:r>
    </w:p>
    <w:p w14:paraId="21C5BFDE" w14:textId="77777777" w:rsidR="00F62B7D" w:rsidRPr="00C320DC" w:rsidRDefault="00F62B7D" w:rsidP="00E949E5">
      <w:pPr>
        <w:spacing w:after="0" w:line="240" w:lineRule="auto"/>
        <w:jc w:val="center"/>
        <w:rPr>
          <w:rFonts w:ascii="Bookman Old Style" w:hAnsi="Bookman Old Style"/>
          <w:b/>
          <w:bCs/>
          <w:szCs w:val="22"/>
        </w:rPr>
      </w:pPr>
    </w:p>
    <w:p w14:paraId="72EB978C" w14:textId="0BB6E7F7" w:rsidR="00915B92" w:rsidRPr="00C320DC" w:rsidRDefault="00915B92" w:rsidP="004B2ECB">
      <w:pPr>
        <w:spacing w:after="0" w:line="240" w:lineRule="auto"/>
        <w:jc w:val="center"/>
        <w:rPr>
          <w:rFonts w:ascii="Bookman Old Style" w:hAnsi="Bookman Old Style"/>
          <w:b/>
          <w:bCs/>
          <w:szCs w:val="22"/>
        </w:rPr>
      </w:pPr>
      <w:r w:rsidRPr="00C320DC">
        <w:rPr>
          <w:rFonts w:ascii="Bookman Old Style" w:hAnsi="Bookman Old Style"/>
          <w:b/>
          <w:bCs/>
          <w:szCs w:val="22"/>
        </w:rPr>
        <w:t>Universitas Sunan Giri Surabaya</w:t>
      </w:r>
    </w:p>
    <w:p w14:paraId="5499A700" w14:textId="77777777" w:rsidR="00915B92" w:rsidRPr="00C320DC" w:rsidRDefault="00915B92" w:rsidP="004B2ECB">
      <w:pPr>
        <w:spacing w:after="0" w:line="240" w:lineRule="auto"/>
        <w:jc w:val="both"/>
        <w:rPr>
          <w:rFonts w:ascii="Bookman Old Style" w:hAnsi="Bookman Old Style"/>
          <w:szCs w:val="22"/>
        </w:rPr>
      </w:pPr>
    </w:p>
    <w:p w14:paraId="1349A407" w14:textId="527B81BA" w:rsidR="00915B92" w:rsidRPr="00C320DC" w:rsidRDefault="00915B92" w:rsidP="00A24C8C">
      <w:pPr>
        <w:spacing w:after="0" w:line="240" w:lineRule="auto"/>
        <w:jc w:val="center"/>
        <w:rPr>
          <w:rFonts w:ascii="Bookman Old Style" w:hAnsi="Bookman Old Style"/>
          <w:i/>
          <w:iCs/>
          <w:szCs w:val="22"/>
        </w:rPr>
      </w:pPr>
      <w:r w:rsidRPr="00C320DC">
        <w:rPr>
          <w:rFonts w:ascii="Bookman Old Style" w:hAnsi="Bookman Old Style"/>
          <w:b/>
          <w:bCs/>
          <w:i/>
          <w:iCs/>
          <w:szCs w:val="22"/>
        </w:rPr>
        <w:t>ABSTRACT</w:t>
      </w:r>
    </w:p>
    <w:p w14:paraId="34F17E11" w14:textId="275BFB6A" w:rsidR="006A1BB9" w:rsidRDefault="00915B92" w:rsidP="004B2ECB">
      <w:pPr>
        <w:spacing w:after="0" w:line="240" w:lineRule="auto"/>
        <w:jc w:val="both"/>
        <w:rPr>
          <w:rFonts w:ascii="Bookman Old Style" w:hAnsi="Bookman Old Style"/>
          <w:i/>
          <w:iCs/>
          <w:spacing w:val="-2"/>
          <w:szCs w:val="22"/>
        </w:rPr>
      </w:pPr>
      <w:r w:rsidRPr="000C1EC3">
        <w:rPr>
          <w:rFonts w:ascii="Bookman Old Style" w:hAnsi="Bookman Old Style"/>
          <w:i/>
          <w:iCs/>
          <w:spacing w:val="-2"/>
          <w:szCs w:val="22"/>
        </w:rPr>
        <w:t>The pharmaceutical industry faces persistent ethical challenges regarding drug price transparency and health product promotion. This study examines the regulatory framework governing pharmaceutical business ethics in Indonesia, focusing on compliance gaps between legal provisions and actual practices. A qualitative document analysis method was employed, reviewing regulations including Minister of Health Regulation No. 98/2015 on Maximum Retail Price disclosure and Government Regulat</w:t>
      </w:r>
      <w:r w:rsidR="009865FB">
        <w:rPr>
          <w:rFonts w:ascii="Bookman Old Style" w:hAnsi="Bookman Old Style"/>
          <w:i/>
          <w:iCs/>
          <w:spacing w:val="-2"/>
          <w:szCs w:val="22"/>
        </w:rPr>
        <w:t xml:space="preserve"> </w:t>
      </w:r>
      <w:r w:rsidRPr="000C1EC3">
        <w:rPr>
          <w:rFonts w:ascii="Bookman Old Style" w:hAnsi="Bookman Old Style"/>
          <w:i/>
          <w:iCs/>
          <w:spacing w:val="-2"/>
          <w:szCs w:val="22"/>
        </w:rPr>
        <w:t>ion No. 28/2024 on health product advertising. The analysis identifies three major compliance gaps. First, healthcare facilities frequently sell drugs above regulated prices through hidden administrative fees. Second, promotional content on digital platforms bypasses pre approval requirements using influencer marketing tactics. Third, sponsorship of physician conferences remains a channel for undue influence despite anti gratification laws. Weak sanction mechanisms and inadequate interagency coordination enable continued violations. Patient reporting systems are inaccessible and provide no compensation for overcharged consumers. The findings suggest that regulatory existence alone is insufficient without political commitment to enforcement. Recommended improvements include artificial intelligence based advertising monitoring, mandatory disclosure of industry physician financial relationships, and severe administrative penalties for repeat violators. These measures would protect patient rights and restore public trust in pharmaceutical services.</w:t>
      </w:r>
    </w:p>
    <w:p w14:paraId="61F7CB88" w14:textId="77777777" w:rsidR="00D1667B" w:rsidRPr="000C1EC3" w:rsidRDefault="00D1667B" w:rsidP="004B2ECB">
      <w:pPr>
        <w:spacing w:after="0" w:line="240" w:lineRule="auto"/>
        <w:jc w:val="both"/>
        <w:rPr>
          <w:rFonts w:ascii="Bookman Old Style" w:hAnsi="Bookman Old Style"/>
          <w:i/>
          <w:iCs/>
          <w:spacing w:val="-2"/>
          <w:szCs w:val="22"/>
        </w:rPr>
      </w:pPr>
    </w:p>
    <w:p w14:paraId="5A2CC192" w14:textId="672C8B8B" w:rsidR="00915B92" w:rsidRPr="00C320DC" w:rsidRDefault="00915B92" w:rsidP="004B2ECB">
      <w:pPr>
        <w:spacing w:after="0" w:line="240" w:lineRule="auto"/>
        <w:jc w:val="both"/>
        <w:rPr>
          <w:rFonts w:ascii="Bookman Old Style" w:hAnsi="Bookman Old Style"/>
          <w:i/>
          <w:iCs/>
          <w:szCs w:val="22"/>
        </w:rPr>
      </w:pPr>
      <w:r w:rsidRPr="001B565F">
        <w:rPr>
          <w:rFonts w:ascii="Bookman Old Style" w:hAnsi="Bookman Old Style"/>
          <w:b/>
          <w:bCs/>
          <w:i/>
          <w:iCs/>
          <w:szCs w:val="22"/>
        </w:rPr>
        <w:t>Keywords:</w:t>
      </w:r>
      <w:r w:rsidRPr="00C320DC">
        <w:rPr>
          <w:rFonts w:ascii="Bookman Old Style" w:hAnsi="Bookman Old Style"/>
          <w:i/>
          <w:iCs/>
          <w:szCs w:val="22"/>
        </w:rPr>
        <w:t> pharmaceutical ethics, price transparency, drug promotion, physician industry relations, consumer protection.</w:t>
      </w:r>
    </w:p>
    <w:p w14:paraId="754B12CF" w14:textId="77777777" w:rsidR="002638DE" w:rsidRPr="00C320DC" w:rsidRDefault="002638DE" w:rsidP="004B2ECB">
      <w:pPr>
        <w:spacing w:after="0" w:line="240" w:lineRule="auto"/>
        <w:jc w:val="both"/>
        <w:rPr>
          <w:rFonts w:ascii="Bookman Old Style" w:hAnsi="Bookman Old Style"/>
          <w:i/>
          <w:iCs/>
          <w:szCs w:val="22"/>
        </w:rPr>
      </w:pPr>
    </w:p>
    <w:p w14:paraId="3A74536D" w14:textId="77777777" w:rsidR="00C813EF" w:rsidRPr="00C320DC" w:rsidRDefault="00C813EF" w:rsidP="004B2ECB">
      <w:pPr>
        <w:spacing w:after="0" w:line="240" w:lineRule="auto"/>
        <w:jc w:val="both"/>
        <w:rPr>
          <w:rFonts w:ascii="Bookman Old Style" w:hAnsi="Bookman Old Style"/>
          <w:szCs w:val="22"/>
        </w:rPr>
      </w:pPr>
      <w:r w:rsidRPr="00C320DC">
        <w:rPr>
          <w:rFonts w:ascii="Bookman Old Style" w:hAnsi="Bookman Old Style"/>
          <w:b/>
          <w:bCs/>
          <w:szCs w:val="22"/>
        </w:rPr>
        <w:t>PENDAHULUAN</w:t>
      </w:r>
    </w:p>
    <w:p w14:paraId="2FA6659A" w14:textId="48F53DE2" w:rsidR="00555FAC" w:rsidRPr="000C1EC3" w:rsidRDefault="00555FAC" w:rsidP="00555FAC">
      <w:pPr>
        <w:spacing w:after="0" w:line="240" w:lineRule="auto"/>
        <w:ind w:firstLine="567"/>
        <w:jc w:val="both"/>
        <w:rPr>
          <w:rFonts w:ascii="Bookman Old Style" w:hAnsi="Bookman Old Style"/>
          <w:spacing w:val="-2"/>
          <w:szCs w:val="22"/>
          <w:lang w:val="en-US"/>
        </w:rPr>
      </w:pPr>
      <w:r w:rsidRPr="000C1EC3">
        <w:rPr>
          <w:rFonts w:ascii="Bookman Old Style" w:hAnsi="Bookman Old Style"/>
          <w:spacing w:val="-2"/>
          <w:szCs w:val="22"/>
          <w:lang w:val="en-US"/>
        </w:rPr>
        <w:t xml:space="preserve">Saat ini Industri farmasi global dengan tekanan publik yang semakin besar terhadap praktik bisnisnya, terutama menyangkut harga obat dan promosi produk kesehatan. Dua dekade terakhir menyaksikan berbagai skandal etika yang melibatkan perusahaan farmasi besar, mulai dari </w:t>
      </w:r>
      <w:r w:rsidRPr="000C1EC3">
        <w:rPr>
          <w:rFonts w:ascii="Bookman Old Style" w:hAnsi="Bookman Old Style"/>
          <w:i/>
          <w:iCs/>
          <w:spacing w:val="-2"/>
          <w:szCs w:val="22"/>
          <w:lang w:val="en-US"/>
        </w:rPr>
        <w:t>mark up</w:t>
      </w:r>
      <w:r w:rsidRPr="000C1EC3">
        <w:rPr>
          <w:rFonts w:ascii="Bookman Old Style" w:hAnsi="Bookman Old Style"/>
          <w:spacing w:val="-2"/>
          <w:szCs w:val="22"/>
          <w:lang w:val="en-US"/>
        </w:rPr>
        <w:t xml:space="preserve"> harga obat hingga pemberian suap terselubung kepada tenaga medis (Astărăstoae et al., 2024). Organisasi Kesehatan Dunia (WHO) sejak tahun 2000 telah mengingatkan bahwa asimetri informasi antara produsen, dokter, dan pasien menciptakan ruang bagi perilaku oportunistik (Gordon et al., 2017). Velasquez dan Boulet (2000) menjelaskan bahwa ketidakseimbangan pengetahuan tentang khasiat dan risiko obat membuat pasien sangat rentan terhadap eksploitasi komersial. Di negara berkembang seperti Indonesia, masalah ini diperparah oleh lemahnya pengawasan dan tingginya biaya pengobatan yang harus ditanggung sendiri oleh </w:t>
      </w:r>
      <w:r w:rsidRPr="000C1EC3">
        <w:rPr>
          <w:rFonts w:ascii="Bookman Old Style" w:hAnsi="Bookman Old Style"/>
          <w:spacing w:val="-2"/>
          <w:szCs w:val="22"/>
          <w:lang w:val="en-US"/>
        </w:rPr>
        <w:lastRenderedPageBreak/>
        <w:t xml:space="preserve">masyarakat. Kondisi ini mendorong lahirnya berbagai regulasi yang bertujuan melindungi hak konsumen atas informasi yang jujur dan harga yang wajar (Irawan et al., 2023). Namun implementasi regulasi tersebut sering menghadapi hambatan karena kuatnya lobi industri dan kompleksitas rantai pasok obat. Di samping itu, dinamika persaingan di pasar sediaan kesehatan juga menuntut ketegasan implementasi hukum persaingan usaha, termasuk di dalam industri herbal guna mencegah praktik yang merugikan pelaku usaha sekaligus konsumen (Vitrianingsih </w:t>
      </w:r>
      <w:r w:rsidR="00597762" w:rsidRPr="000C1EC3">
        <w:rPr>
          <w:rFonts w:ascii="Bookman Old Style" w:hAnsi="Bookman Old Style"/>
          <w:spacing w:val="-2"/>
          <w:szCs w:val="22"/>
          <w:lang w:val="en-US"/>
        </w:rPr>
        <w:t>et al</w:t>
      </w:r>
      <w:r w:rsidRPr="000C1EC3">
        <w:rPr>
          <w:rFonts w:ascii="Bookman Old Style" w:hAnsi="Bookman Old Style"/>
          <w:spacing w:val="-2"/>
          <w:szCs w:val="22"/>
          <w:lang w:val="en-US"/>
        </w:rPr>
        <w:t>., 2023).</w:t>
      </w:r>
    </w:p>
    <w:p w14:paraId="1D9497AB" w14:textId="77777777" w:rsidR="00555FAC" w:rsidRPr="00C320DC" w:rsidRDefault="00555FAC" w:rsidP="00555FAC">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Transparansi harga obat menjadi isu sentral dalam diskursus etika bisnis farmasi karena menyangkut akses masyarakat terhadap layanan kesehatan yang terjangkau (Kim et al., 2023). Ketika rumah sakit dan apotek tidak diwajibkan memublikasikan harga eceran tertinggi, terjadi disparitas harga yang sangat besar untuk produk obat yang sama. Pasien yang kurang informasi dapat membayar harga beberapa kali lipat dari harga yang seharusnya, terutama untuk obat generik berlogo. Pemahaman tentang mekanisme penetapan harga obat melibatkan berbagai pemangku kepentingan mulai dari produsen bahan baku hingga distributor dan fasilitas kesehatan akhir. Untuk memitigasi hal ini, metode </w:t>
      </w:r>
      <w:r w:rsidRPr="00C320DC">
        <w:rPr>
          <w:rFonts w:ascii="Bookman Old Style" w:hAnsi="Bookman Old Style"/>
          <w:i/>
          <w:iCs/>
          <w:szCs w:val="22"/>
          <w:lang w:val="en-US"/>
        </w:rPr>
        <w:t>value-based pricing</w:t>
      </w:r>
      <w:r w:rsidRPr="00C320DC">
        <w:rPr>
          <w:rFonts w:ascii="Bookman Old Style" w:hAnsi="Bookman Old Style"/>
          <w:szCs w:val="22"/>
          <w:lang w:val="en-US"/>
        </w:rPr>
        <w:t xml:space="preserve"> sejatinya dapat ditawarkan sebagai pendekatan optimal dalam penentuan harga yang adil bagi konsumen (Sinambela &amp; Aprilianti, 2013). Bennett dan Chan (2003) menemukan bahwa rantai pasok farmasi di Asia Tenggara memiliki rata-rata tujuh lapisan perantara sebelum obat sampai ke pasien. Setiap lapisan menambahkan </w:t>
      </w:r>
      <w:r w:rsidRPr="00C320DC">
        <w:rPr>
          <w:rFonts w:ascii="Bookman Old Style" w:hAnsi="Bookman Old Style"/>
          <w:i/>
          <w:iCs/>
          <w:szCs w:val="22"/>
          <w:lang w:val="en-US"/>
        </w:rPr>
        <w:t>mark up</w:t>
      </w:r>
      <w:r w:rsidRPr="00C320DC">
        <w:rPr>
          <w:rFonts w:ascii="Bookman Old Style" w:hAnsi="Bookman Old Style"/>
          <w:szCs w:val="22"/>
          <w:lang w:val="en-US"/>
        </w:rPr>
        <w:t xml:space="preserve"> yang sering tidak transparan dan tidak terkait dengan nilai tambah nyata. Akibatnya, pasien kelas menengah ke bawah menghadapi pilihan antara membeli obat dengan harga mahal atau mengabaikan pengobatan sama sekali.</w:t>
      </w:r>
    </w:p>
    <w:p w14:paraId="688B42FA" w14:textId="7082BCD6" w:rsidR="00555FAC" w:rsidRPr="003D0B78" w:rsidRDefault="00555FAC" w:rsidP="00555FAC">
      <w:pPr>
        <w:spacing w:after="0" w:line="240" w:lineRule="auto"/>
        <w:ind w:firstLine="567"/>
        <w:jc w:val="both"/>
        <w:rPr>
          <w:rFonts w:ascii="Bookman Old Style" w:hAnsi="Bookman Old Style"/>
          <w:spacing w:val="2"/>
          <w:szCs w:val="22"/>
          <w:lang w:val="en-US"/>
        </w:rPr>
      </w:pPr>
      <w:r w:rsidRPr="003D0B78">
        <w:rPr>
          <w:rFonts w:ascii="Bookman Old Style" w:hAnsi="Bookman Old Style"/>
          <w:spacing w:val="2"/>
          <w:szCs w:val="22"/>
          <w:lang w:val="en-US"/>
        </w:rPr>
        <w:t xml:space="preserve">Promosi produk kesehatan oleh perusahaan farmasi merupakan area lain yang sarat dengan pelanggaran etika, terutama ketika klaim khasiat dilebih-lebihkan (Batool et al., 2024). Iklan obat bebas di televisi, media sosial, dan platform digital sering menampilkan testimoni yang tidak sesuai bukti ilmiah yang sebenarnya. Perusahaan juga menggunakan agen pemasaran untuk mengunjungi praktik dokter umum dan spesialis, membawa berbagai materi promosi dan contoh produk gratis. Agresivitas penetrasi pasar ini lazim ditemui dalam struktur korporasi yang menerapkan bauran pemasaran, segmentasi, targeting, dan positioning untuk strategi pemasaran efektif (Arifin </w:t>
      </w:r>
      <w:r w:rsidR="00597762">
        <w:rPr>
          <w:rFonts w:ascii="Bookman Old Style" w:hAnsi="Bookman Old Style"/>
          <w:spacing w:val="2"/>
          <w:szCs w:val="22"/>
          <w:lang w:val="en-US"/>
        </w:rPr>
        <w:t>et al</w:t>
      </w:r>
      <w:r w:rsidRPr="003D0B78">
        <w:rPr>
          <w:rFonts w:ascii="Bookman Old Style" w:hAnsi="Bookman Old Style"/>
          <w:spacing w:val="2"/>
          <w:szCs w:val="22"/>
          <w:lang w:val="en-US"/>
        </w:rPr>
        <w:t xml:space="preserve">., 2014), yang dalam konteks tertentu juga menjadi bagian dari perumusan strategi bauran pemasaran dalam praktik usaha mikro kecil menengah (Wisnujati </w:t>
      </w:r>
      <w:r w:rsidR="00597762">
        <w:rPr>
          <w:rFonts w:ascii="Bookman Old Style" w:hAnsi="Bookman Old Style"/>
          <w:spacing w:val="2"/>
          <w:szCs w:val="22"/>
          <w:lang w:val="en-US"/>
        </w:rPr>
        <w:t>et al</w:t>
      </w:r>
      <w:r w:rsidRPr="003D0B78">
        <w:rPr>
          <w:rFonts w:ascii="Bookman Old Style" w:hAnsi="Bookman Old Style"/>
          <w:spacing w:val="2"/>
          <w:szCs w:val="22"/>
          <w:lang w:val="en-US"/>
        </w:rPr>
        <w:t xml:space="preserve">., 2014). Mintzes (2005) mengkritik praktik </w:t>
      </w:r>
      <w:r w:rsidRPr="003D0B78">
        <w:rPr>
          <w:rFonts w:ascii="Bookman Old Style" w:hAnsi="Bookman Old Style"/>
          <w:i/>
          <w:iCs/>
          <w:spacing w:val="2"/>
          <w:szCs w:val="22"/>
          <w:lang w:val="en-US"/>
        </w:rPr>
        <w:t>direct to consumer advertising</w:t>
      </w:r>
      <w:r w:rsidRPr="003D0B78">
        <w:rPr>
          <w:rFonts w:ascii="Bookman Old Style" w:hAnsi="Bookman Old Style"/>
          <w:spacing w:val="2"/>
          <w:szCs w:val="22"/>
          <w:lang w:val="en-US"/>
        </w:rPr>
        <w:t xml:space="preserve"> yang diizinkan di Amerika Serikat namun dilarang di hampir semua negara maju lainnya. Pelarangan ini didasari temuan bahwa konsumen cenderung meminta resep obat tertentu kepada dokter setelah terpapar iklan tersebut, sehingga mendorong penggunaan obat yang tidak rasional. Di Indonesia, regulasi tentang iklan alat kesehatan dan produk kesehatan rumah tangga sudah ada sejak tahun 2013, namun penegakannya masih lemah. Pelanggaran seperti iklan yang menjanjikan kesembuhan instan masih mudah ditemukan di berbagai platform.</w:t>
      </w:r>
    </w:p>
    <w:p w14:paraId="41955214" w14:textId="4A8ABE75" w:rsidR="00555FAC" w:rsidRPr="00C320DC" w:rsidRDefault="00555FAC" w:rsidP="00555FAC">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Hubungan antara dokter dan perwakilan perusahaan farmasi menjadi sorotan utama dalam etika bisnis farmasi karena potensi konflik kepentingan </w:t>
      </w:r>
      <w:r w:rsidRPr="00C320DC">
        <w:rPr>
          <w:rFonts w:ascii="Bookman Old Style" w:hAnsi="Bookman Old Style"/>
          <w:szCs w:val="22"/>
          <w:lang w:val="en-US"/>
        </w:rPr>
        <w:lastRenderedPageBreak/>
        <w:t xml:space="preserve">yang besar (Komesaroff &amp; Kerridge, 2002). Pemberian hadiah, sponsor perjalanan konferensi, dan hiburan mewah kepada dokter dapat mempengaruhi pola peresepan obat secara tidak sadar. Wazana (2000) dalam studi sistematisnya menunjukkan bahwa interaksi dengan perwakilan farmasi dikaitkan dengan permintaan dokter untuk memasukkan obat tertentu ke dalam formularium rumah sakit. Dokter yang sering menerima hadiah cenderung meresepkan obat bermerek yang lebih mahal dibandingkan obat generik dengan kandungan sama. Praktik ini tidak hanya merugikan pasien dari segi biaya tetapi juga membahayakan karena pasien bisa mendapatkan obat yang sebenarnya tidak paling tepat untuk kondisinya. Dampak lanjutan dari pola peresepan yang bias ini berisiko memicu kelalaian tenaga kesehatan dalam penggunaan obat-obatan, termasuk sediaan herbal, yang membawa implikasi hukum serius serta dampak buruk pada keselamatan pasien (Mansyur </w:t>
      </w:r>
      <w:r w:rsidR="00597762">
        <w:rPr>
          <w:rFonts w:ascii="Bookman Old Style" w:hAnsi="Bookman Old Style"/>
          <w:szCs w:val="22"/>
          <w:lang w:val="en-US"/>
        </w:rPr>
        <w:t>et al</w:t>
      </w:r>
      <w:r w:rsidRPr="00C320DC">
        <w:rPr>
          <w:rFonts w:ascii="Bookman Old Style" w:hAnsi="Bookman Old Style"/>
          <w:szCs w:val="22"/>
          <w:lang w:val="en-US"/>
        </w:rPr>
        <w:t>., 2024). Di sektor publik, dokter yang berstatus aparatur sipil negara terikat oleh undang-undang anti gratifikasi yang melarang penerimaan dalam bentuk apa pun. Namun penegakan aturan ini sulit dilakukan karena pemberian sering terjadi dalam bentuk perjalanan studi banding atau seminar yang dibungkus sebagai kegiatan edukasi.</w:t>
      </w:r>
    </w:p>
    <w:p w14:paraId="187A9A44" w14:textId="77777777" w:rsidR="00555FAC" w:rsidRPr="00C320DC" w:rsidRDefault="00555FAC" w:rsidP="00555FAC">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Regulasi nasional di Indonesia sebenarnya telah cukup maju untuk mengatur transparansi harga dan etika promosi produk farmasi, namun celah implementasi tetap lebar (Nadjib et al., 2021). Peraturan Menteri Kesehatan Nomor 98 Tahun 2015 mewajibkan pencantuman Harga Eceran Tertinggi (HET) di semua fasilitas kesehatan, dengan larangan penjualan melebihi batas tersebut. Undang-Undang Nomor 8 Tahun 1999 tentang Perlindungan Konsumen memberikan landasan hukum bagi pasien untuk menuntut informasi harga yang benar dan jujur. Untuk pengadaan obat dalam sistem Jaminan Kesehatan Nasional, pemerintah menggunakan e-Katalog yang memublikasikan harga resmi dan mencegah </w:t>
      </w:r>
      <w:r w:rsidRPr="00C320DC">
        <w:rPr>
          <w:rFonts w:ascii="Bookman Old Style" w:hAnsi="Bookman Old Style"/>
          <w:i/>
          <w:iCs/>
          <w:szCs w:val="22"/>
          <w:lang w:val="en-US"/>
        </w:rPr>
        <w:t>mark up</w:t>
      </w:r>
      <w:r w:rsidRPr="00C320DC">
        <w:rPr>
          <w:rFonts w:ascii="Bookman Old Style" w:hAnsi="Bookman Old Style"/>
          <w:szCs w:val="22"/>
          <w:lang w:val="en-US"/>
        </w:rPr>
        <w:t>. Transparansi ini penting mengingat persepsi konsumen terhadap nilai ekonomi sangat dipengaruhi oleh peran persepsi harga premi dan pengalaman merek terhadap minat mereferensikan merek (Darmawan, 2012). Namun kenyataan di lapangan menunjukkan bahwa banyak apotek dan klinik swasta yang tidak mematuhi kewajiban pencantuman HET. Disparitas harga antara rumah sakit pemerintah dan swasta untuk obat yang sama masih sangat tinggi, sering mencapai 300 persen hingga 500 persen. Kondisi ini menunjukkan adanya celah sistematis yang memungkinkan praktik tidak etis terus berlangsung.</w:t>
      </w:r>
    </w:p>
    <w:p w14:paraId="327CE3BE" w14:textId="77777777" w:rsidR="00555FAC" w:rsidRPr="00C320DC" w:rsidRDefault="00555FAC" w:rsidP="00555FAC">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Permasalahan utama dalam etika bisnis farmasi di Indonesia adalah lemahnya ketaatan terhadap regulasi transparansi harga obat yang sudah ada. Meskipun Peraturan Menteri Kesehatan Nomor 98 Tahun 2015 secara jelas mewajibkan pencantuman HET dan melarang penjualan di atas batas tersebut, pelanggaran masih terjadi secara meluas. Banyak apotek dan rumah sakit swasta tidak menampilkan HET di rak obat atau tempat yang mudah dilihat pasien. Pasien yang tidak mengetahui HET menjadi sangat rentan terhadap penetapan harga sewenang-wenang oleh fasilitas kesehatan. Apotek sering memasang harga jual yang lebih tinggi dari HET dengan alasan biaya operasional atau pelayanan tambahan yang sebenarnya tidak diatur dalam peraturan. Padahal, kalkulasi margin semestinya didasarkan pada analisis </w:t>
      </w:r>
      <w:r w:rsidRPr="00C320DC">
        <w:rPr>
          <w:rFonts w:ascii="Bookman Old Style" w:hAnsi="Bookman Old Style"/>
          <w:szCs w:val="22"/>
          <w:lang w:val="en-US"/>
        </w:rPr>
        <w:lastRenderedPageBreak/>
        <w:t>rancangan perencanaan biaya dengan metode perhitungan biaya nyata yang akurat agar tidak merugikan hak konsumen (Sinambela &amp; Djaelani, 2021). Praktik ini diperparah oleh ketiadaan sanksi tegas yang diberikan kepada pelanggar, sehingga tidak ada efek jera. Sistem pengawasan yang mengandalkan laporan masyarakat terbukti tidak efektif karena sebagian besar pasien tidak tahu hak mereka atau takut untuk melapor. Akibatnya, disparitas harga obat antar fasilitas kesehatan tetap tinggi, dan beban biaya pengobatan masyarakat tidak berkurang meskipun regulasi sudah ada.</w:t>
      </w:r>
    </w:p>
    <w:p w14:paraId="7C39BCF9" w14:textId="2E357188" w:rsidR="00555FAC" w:rsidRPr="000C1EC3" w:rsidRDefault="00555FAC" w:rsidP="00555FAC">
      <w:pPr>
        <w:spacing w:after="0" w:line="240" w:lineRule="auto"/>
        <w:ind w:firstLine="567"/>
        <w:jc w:val="both"/>
        <w:rPr>
          <w:rFonts w:ascii="Bookman Old Style" w:hAnsi="Bookman Old Style"/>
          <w:spacing w:val="-4"/>
          <w:szCs w:val="22"/>
          <w:lang w:val="en-US"/>
        </w:rPr>
      </w:pPr>
      <w:r w:rsidRPr="000C1EC3">
        <w:rPr>
          <w:rFonts w:ascii="Bookman Old Style" w:hAnsi="Bookman Old Style"/>
          <w:spacing w:val="-4"/>
          <w:szCs w:val="22"/>
          <w:lang w:val="en-US"/>
        </w:rPr>
        <w:t xml:space="preserve">Permasalahan kedua menyangkut promosi produk kesehatan yang sering melanggar batasan etika dan ketentuan peraturan perundangan. Peraturan Pemerintah Nomor 28 Tahun 2024 tentang pelaksanaan Undang-Undang Kesehatan melarang iklan yang menjanjikan kesembuhan instan atau menggunakan testimoni berlebihan. Namun di lapangan, iklan produk suplemen dan obat tradisional di televisi dan media sosial masih sering melanggar ketentuan ini. Perusahaan menggunakan tokoh masyarakat atau selebriti yang tidak memiliki latar belakang ilmu kesehatan untuk membangun kredibilitas palsu. Bahasa yang digunakan sering bersifat sugestif seperti sembuh total tanpa efek samping atau formula rahasia yang telah teruji secara ilmiah padahal tidak ada publikasi </w:t>
      </w:r>
      <w:r w:rsidRPr="000C1EC3">
        <w:rPr>
          <w:rFonts w:ascii="Bookman Old Style" w:hAnsi="Bookman Old Style"/>
          <w:i/>
          <w:iCs/>
          <w:spacing w:val="-4"/>
          <w:szCs w:val="22"/>
          <w:lang w:val="en-US"/>
        </w:rPr>
        <w:t>peer review</w:t>
      </w:r>
      <w:r w:rsidRPr="000C1EC3">
        <w:rPr>
          <w:rFonts w:ascii="Bookman Old Style" w:hAnsi="Bookman Old Style"/>
          <w:spacing w:val="-4"/>
          <w:szCs w:val="22"/>
          <w:lang w:val="en-US"/>
        </w:rPr>
        <w:t xml:space="preserve"> yang mendukung. Agresivitas edukasi komersial ini sering kali memicu benturan antara nilai-nilai lokal masyarakat tradisional dengan pendekatan pemasaran hijau yang dipaksakan oleh korporasi (Mardikaningsih </w:t>
      </w:r>
      <w:r w:rsidR="00597762" w:rsidRPr="000C1EC3">
        <w:rPr>
          <w:rFonts w:ascii="Bookman Old Style" w:hAnsi="Bookman Old Style"/>
          <w:spacing w:val="-4"/>
          <w:szCs w:val="22"/>
          <w:lang w:val="en-US"/>
        </w:rPr>
        <w:t>et al</w:t>
      </w:r>
      <w:r w:rsidRPr="000C1EC3">
        <w:rPr>
          <w:rFonts w:ascii="Bookman Old Style" w:hAnsi="Bookman Old Style"/>
          <w:spacing w:val="-4"/>
          <w:szCs w:val="22"/>
          <w:lang w:val="en-US"/>
        </w:rPr>
        <w:t>., 2021). Peraturan Menteri Kesehatan Nomor 76 Tahun 2013 sebenarnya mewajibkan adanya persetujuan materi iklan sebelum ditayangkan, namun proses persetujuan sering menjadi formalitas belaka. Iklan yang sudah lolos persetujuan pun dapat diubah secara sepihak oleh perusahaan setelah materi disetujui, terutama untuk tayangan digital yang sulit diawasi. Pasien yang terpapar iklan semacam ini terdorong membeli produk tanpa konsultasi dengan tenaga medis, berisiko mengalami efek samping atau interaksi obat berbahaya.</w:t>
      </w:r>
    </w:p>
    <w:p w14:paraId="4E138B33" w14:textId="77777777" w:rsidR="00555FAC" w:rsidRPr="00C320DC" w:rsidRDefault="00555FAC" w:rsidP="00555FAC">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Pembahasan mengenai etika bisnis industri farmasi memperoleh relevansi tinggi hingga saat ini karena adanya kesenjangan antara desain regulasi dan praktik di lapangan. Peraturan Menteri Kesehatan Nomor 98 Tahun 2015 sudah mewajibkan pencantuman Harga Eceran Tertinggi, namun laporan dari berbagai organisasi masyarakat sipil menunjukkan bahwa kewajiban ini sering diabaikan. Praktik pemberian insentif kepada tenaga medis juga terus berlangsung meskipun Undang-Undang Nomor 20 Tahun 2001 tentang Pemberantasan Korupsi secara tegas melarang gratifikasi bagi aparatur negara. Modus operandi seperti transfer dana melalui yayasan atau </w:t>
      </w:r>
      <w:r w:rsidRPr="00C320DC">
        <w:rPr>
          <w:rFonts w:ascii="Bookman Old Style" w:hAnsi="Bookman Old Style"/>
          <w:i/>
          <w:iCs/>
          <w:szCs w:val="22"/>
          <w:lang w:val="en-US"/>
        </w:rPr>
        <w:t>sponsoring</w:t>
      </w:r>
      <w:r w:rsidRPr="00C320DC">
        <w:rPr>
          <w:rFonts w:ascii="Bookman Old Style" w:hAnsi="Bookman Old Style"/>
          <w:szCs w:val="22"/>
          <w:lang w:val="en-US"/>
        </w:rPr>
        <w:t xml:space="preserve"> konferensi kedokteran sulit dideteksi karena dibungkus sebagai kegiatan edukasi profesional. Perkembangan teknologi digital memperumit pengawasan karena promosi obat resep dapat dilakukan melalui grup percakapan tertutup antar dokter. Regulator seperti Kementerian Kesehatan dan Komisi Pemberantasan Korupsi menghadapi kesulitan untuk melacak komunikasi semacam ini karena sifatnya yang privat. Akibatnya, celah antara ketentuan hukum dan implementasi nyata terus melebar, merugikan pasien yang seharusnya mendapat perlindungan dan akses terhadap obat dengan harga wajar. Tanpa perbaikan sistem pengawasan, kepercayaan publik terhadap layanan kesehatan akan terus tergerus.</w:t>
      </w:r>
    </w:p>
    <w:p w14:paraId="64AD37AE" w14:textId="77777777" w:rsidR="00C813EF" w:rsidRPr="000C1EC3" w:rsidRDefault="00C813EF" w:rsidP="00CB03D3">
      <w:pPr>
        <w:spacing w:after="0" w:line="240" w:lineRule="auto"/>
        <w:ind w:firstLine="567"/>
        <w:jc w:val="both"/>
        <w:rPr>
          <w:rFonts w:ascii="Bookman Old Style" w:hAnsi="Bookman Old Style"/>
          <w:spacing w:val="-2"/>
          <w:szCs w:val="22"/>
        </w:rPr>
      </w:pPr>
      <w:r w:rsidRPr="000C1EC3">
        <w:rPr>
          <w:rFonts w:ascii="Bookman Old Style" w:hAnsi="Bookman Old Style"/>
          <w:spacing w:val="-2"/>
          <w:szCs w:val="22"/>
        </w:rPr>
        <w:lastRenderedPageBreak/>
        <w:t>Tujuan dari penulisan ini adalah untuk mengidentifikasi dan menganalisis prinsip prinsip etika yang mendasari regulasi transparansi harga obat dan promosi produk kesehatan di Indonesia. Penulisan ini bertujuan memetakan kesenjangan antara ketentuan hukum yang berlaku dengan praktik nyata di lapangan, serta merumuskan rekomendasi perbaikan sistem pengawasan. Kontribusi teoretis dari studi ini adalah memperkaya literatur etika bisnis dengan studi kasus sektor farmasi yang memiliki karakteristik unik berupa asimetri informasi ekstrem. Secara praktis, hasil studi ini dapat digunakan oleh Kementerian Kesehatan dan lembaga pengawas untuk memperkuat mekanisme deteksi pelanggaran. Organisasi profesi kedokteran juga dapat memanfaatkan temuan ini untuk merevisi kode etik yang mengatur hubungan dokter dengan industri farmasi. Dengan demikian, studi ini diharapkan memberi landasan bagi perbaikan sistem yang melindungi hak pasien.</w:t>
      </w:r>
    </w:p>
    <w:p w14:paraId="643E0439" w14:textId="77777777" w:rsidR="00C813EF" w:rsidRPr="00C320DC" w:rsidRDefault="00C813EF" w:rsidP="004B2ECB">
      <w:pPr>
        <w:spacing w:after="0" w:line="240" w:lineRule="auto"/>
        <w:jc w:val="both"/>
        <w:rPr>
          <w:rFonts w:ascii="Bookman Old Style" w:hAnsi="Bookman Old Style"/>
          <w:szCs w:val="22"/>
        </w:rPr>
      </w:pPr>
      <w:r w:rsidRPr="00C320DC">
        <w:rPr>
          <w:rFonts w:ascii="Bookman Old Style" w:hAnsi="Bookman Old Style"/>
          <w:b/>
          <w:bCs/>
          <w:szCs w:val="22"/>
        </w:rPr>
        <w:t> </w:t>
      </w:r>
    </w:p>
    <w:p w14:paraId="3A34DBC5" w14:textId="77777777" w:rsidR="00C813EF" w:rsidRPr="00C320DC" w:rsidRDefault="00C813EF" w:rsidP="004B2ECB">
      <w:pPr>
        <w:spacing w:after="0" w:line="240" w:lineRule="auto"/>
        <w:jc w:val="both"/>
        <w:rPr>
          <w:rFonts w:ascii="Bookman Old Style" w:hAnsi="Bookman Old Style"/>
          <w:szCs w:val="22"/>
        </w:rPr>
      </w:pPr>
      <w:r w:rsidRPr="00C320DC">
        <w:rPr>
          <w:rFonts w:ascii="Bookman Old Style" w:hAnsi="Bookman Old Style"/>
          <w:b/>
          <w:bCs/>
          <w:szCs w:val="22"/>
        </w:rPr>
        <w:t>METODE PENELITIAN</w:t>
      </w:r>
    </w:p>
    <w:p w14:paraId="18DFDEF9" w14:textId="77777777" w:rsidR="00C813EF" w:rsidRPr="00C320DC" w:rsidRDefault="00C813EF" w:rsidP="00CB03D3">
      <w:pPr>
        <w:spacing w:after="0" w:line="240" w:lineRule="auto"/>
        <w:ind w:firstLine="567"/>
        <w:jc w:val="both"/>
        <w:rPr>
          <w:rFonts w:ascii="Bookman Old Style" w:hAnsi="Bookman Old Style"/>
          <w:szCs w:val="22"/>
        </w:rPr>
      </w:pPr>
      <w:r w:rsidRPr="00C320DC">
        <w:rPr>
          <w:rFonts w:ascii="Bookman Old Style" w:hAnsi="Bookman Old Style"/>
          <w:szCs w:val="22"/>
        </w:rPr>
        <w:t>Penulisan ini menggunakan pendekatan studi literatur kualitatif dengan fokus pada analisis dokumen hukum, regulasi, dan kode etik yang relevan dengan industri farmasi. Prosedur yang ditempuh mengacu pada kerangka kerja yang dikembangkan oleh Fink (2005) tentang cara melakukan tinjauan sistematis terhadap literatur kebijakan dan regulasi. Tahap pertama adalah identifikasi sumber sumber primer berupa peraturan perundang undangan yang mengatur harga obat dan promosi produk kesehatan di Indonesia. Tahap berikutnya adalah ekstraksi informasi berupa pasal pasal kunci, sanksi, dan mekanisme pengawasan dari setiap regulasi.</w:t>
      </w:r>
    </w:p>
    <w:p w14:paraId="5F79B818" w14:textId="77777777" w:rsidR="00C813EF" w:rsidRPr="00C320DC" w:rsidRDefault="00C813EF" w:rsidP="00CB03D3">
      <w:pPr>
        <w:spacing w:after="0" w:line="240" w:lineRule="auto"/>
        <w:ind w:firstLine="567"/>
        <w:jc w:val="both"/>
        <w:rPr>
          <w:rFonts w:ascii="Bookman Old Style" w:hAnsi="Bookman Old Style"/>
          <w:szCs w:val="22"/>
        </w:rPr>
      </w:pPr>
      <w:r w:rsidRPr="00C320DC">
        <w:rPr>
          <w:rFonts w:ascii="Bookman Old Style" w:hAnsi="Bookman Old Style"/>
          <w:szCs w:val="22"/>
        </w:rPr>
        <w:t>Analisis dalam studi literatur ini menggunakan metode komparasi konstan yang diusulkan oleh Glaser dan Strauss (1967) dan kemudian disempurnakan oleh Charmaz (2006). Seluruh dokumen terpilih dibaca berulang kali untuk mengidentifikasi pola pola tematik yang muncul. Tema pertama adalah mekanisme transparansi harga yang mencakup kewajiban pencantuman HET, sanksi pelanggaran, dan efektivitas pengawasan. Tema kedua adalah batasan etika promosi produk kesehatan yang meliputi larangan klaim berlebihan, keharusan persetujuan materi iklan, dan penegakan sanksi administratif. Tema ketiga adalah pengaturan hubungan antara dokter dan industri farmasi, termasuk definisi gratifikasi yang dilarang dan pengecualian untuk kegiatan edukasi resmi. Proses pengkodean dilakukan secara manual dengan membandingkan satu pasal dengan pasal lain serta satu kasus pelanggaran dengan kasus lainnya. Validitas temuan dijamin melalui triangulasi sumber, yaitu membandingkan informasi dari regulasi, jurnal akademik, dan laporan investigasi media. Perbedaan interpretasi antara berbagai sumber didiskusikan untuk mencapai pemahaman yang konsisten tentang bagaimana suatu aturan seharusnya diterapkan.</w:t>
      </w:r>
    </w:p>
    <w:p w14:paraId="5B984F0D" w14:textId="77777777" w:rsidR="00C813EF" w:rsidRPr="00C320DC" w:rsidRDefault="00C813EF" w:rsidP="004B2ECB">
      <w:pPr>
        <w:spacing w:after="0" w:line="240" w:lineRule="auto"/>
        <w:jc w:val="both"/>
        <w:rPr>
          <w:rFonts w:ascii="Bookman Old Style" w:hAnsi="Bookman Old Style"/>
          <w:szCs w:val="22"/>
        </w:rPr>
      </w:pPr>
      <w:r w:rsidRPr="00C320DC">
        <w:rPr>
          <w:rFonts w:ascii="Bookman Old Style" w:hAnsi="Bookman Old Style"/>
          <w:b/>
          <w:bCs/>
          <w:szCs w:val="22"/>
        </w:rPr>
        <w:t> </w:t>
      </w:r>
    </w:p>
    <w:p w14:paraId="783F3B86" w14:textId="77777777" w:rsidR="00467CC7" w:rsidRDefault="00467CC7" w:rsidP="004B2ECB">
      <w:pPr>
        <w:spacing w:after="0" w:line="240" w:lineRule="auto"/>
        <w:jc w:val="both"/>
        <w:rPr>
          <w:rFonts w:ascii="Bookman Old Style" w:hAnsi="Bookman Old Style"/>
          <w:b/>
          <w:bCs/>
          <w:szCs w:val="22"/>
        </w:rPr>
      </w:pPr>
    </w:p>
    <w:p w14:paraId="7D1D99DC" w14:textId="33199A3F" w:rsidR="00C813EF" w:rsidRPr="00C320DC" w:rsidRDefault="00C813EF" w:rsidP="004B2ECB">
      <w:pPr>
        <w:spacing w:after="0" w:line="240" w:lineRule="auto"/>
        <w:jc w:val="both"/>
        <w:rPr>
          <w:rFonts w:ascii="Bookman Old Style" w:hAnsi="Bookman Old Style"/>
          <w:szCs w:val="22"/>
        </w:rPr>
      </w:pPr>
      <w:r w:rsidRPr="00C320DC">
        <w:rPr>
          <w:rFonts w:ascii="Bookman Old Style" w:hAnsi="Bookman Old Style"/>
          <w:b/>
          <w:bCs/>
          <w:szCs w:val="22"/>
        </w:rPr>
        <w:t>HASIL DAN PEMBAHASAN</w:t>
      </w:r>
    </w:p>
    <w:p w14:paraId="374CA3D0" w14:textId="3AA301B1" w:rsidR="002D2519" w:rsidRPr="000C1EC3" w:rsidRDefault="002D2519" w:rsidP="002D2519">
      <w:pPr>
        <w:spacing w:after="0" w:line="240" w:lineRule="auto"/>
        <w:ind w:firstLine="567"/>
        <w:jc w:val="both"/>
        <w:rPr>
          <w:rFonts w:ascii="Bookman Old Style" w:hAnsi="Bookman Old Style"/>
          <w:spacing w:val="-4"/>
          <w:szCs w:val="22"/>
          <w:lang w:val="en-US"/>
        </w:rPr>
      </w:pPr>
      <w:r w:rsidRPr="000C1EC3">
        <w:rPr>
          <w:rFonts w:ascii="Bookman Old Style" w:hAnsi="Bookman Old Style"/>
          <w:spacing w:val="-4"/>
          <w:szCs w:val="22"/>
          <w:lang w:val="en-US"/>
        </w:rPr>
        <w:t xml:space="preserve">Peraturan Menteri Kesehatan Nomor 98 Tahun 2015 mewajibkan setiap apotek, rumah sakit, klinik, dan toko obat untuk mencantumkan Harga Eceran Tertinggi (HET) secara jelas. Ketentuan ini bertujuan melindungi pasien dari </w:t>
      </w:r>
      <w:r w:rsidRPr="000C1EC3">
        <w:rPr>
          <w:rFonts w:ascii="Bookman Old Style" w:hAnsi="Bookman Old Style"/>
          <w:spacing w:val="-4"/>
          <w:szCs w:val="22"/>
          <w:lang w:val="en-US"/>
        </w:rPr>
        <w:lastRenderedPageBreak/>
        <w:t xml:space="preserve">penetapan harga yang tidak wajar akibat asimetri informasi (Satibi et al., 2022). Fasilitas kesehatan dilarang menjual obat melebihi batas HET yang telah ditetapkan pemerintah. Landasan hukum aturan ini bersumber dari Undang-Undang Nomor 8 Tahun 1999 tentang Perlindungan Konsumen yang menjamin hak setiap orang atas informasi barang yang benar dan jujur. Pasien berhak mengetahui harga wajar suatu produk obat sebelum memutuskan membeli. Dalam konstruksi hukum di Indonesia, kepatuhan terhadap transparansi ini juga mencakup kewajiban penyedia layanan kesehatan swasta untuk menyampaikan informasi biaya medis serta risiko tindakan secara transparan kepada pasien (Rachim </w:t>
      </w:r>
      <w:r w:rsidR="00597762" w:rsidRPr="000C1EC3">
        <w:rPr>
          <w:rFonts w:ascii="Bookman Old Style" w:hAnsi="Bookman Old Style"/>
          <w:spacing w:val="-4"/>
          <w:szCs w:val="22"/>
          <w:lang w:val="en-US"/>
        </w:rPr>
        <w:t>et al</w:t>
      </w:r>
      <w:r w:rsidRPr="000C1EC3">
        <w:rPr>
          <w:rFonts w:ascii="Bookman Old Style" w:hAnsi="Bookman Old Style"/>
          <w:spacing w:val="-4"/>
          <w:szCs w:val="22"/>
          <w:lang w:val="en-US"/>
        </w:rPr>
        <w:t>., 2024). Namun implementasi regulasi ini menghadapi tantangan karena mekanisme pengawasan yang tersedia masih terbatas. Pelanggaran terhadap kewajiban pencantuman HET memerlukan bukti yang kuat dan keberanian pasien untuk melapor. Tidak semua pasien mengetahui hak mereka atau memahami prosedur pengaduan yang tersedia. Akibatnya, kepatuhan terhadap regulasi ini sangat bervariasi antar fasilitas kesehatan.</w:t>
      </w:r>
    </w:p>
    <w:p w14:paraId="123532BD"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Beberapa rumah sakit swasta mengajukan argumen bahwa mereka tidak menjual obat secara eceran melainkan sebagai bagian terintegrasi dari paket pelayanan. Argumen ini berpotensi menjadi celah untuk menghindari kewajiban pencantuman HET. Kementerian Kesehatan dalam berbagai surat edaran menegaskan bahwa penjualan obat tetap tunduk pada ketentuan HET meskipun disertakan dalam paket pelayanan. Namun ketiadaan sanksi tegas dalam peraturan membuat argumen tersebut tetap dipraktikkan oleh sebagian fasilitas kesehatan. Biaya administrasi, biaya pelayanan kefarmasian, atau biaya pengelolaan obat sering dibebankan secara terpisah tanpa batasan yang jelas. Jumlah biaya tambahan ini tidak diatur dalam peraturan sehingga dapat bervariasi antar satu rumah sakit dengan rumah sakit lain. Pasien yang tidak teliti dapat membayar total biaya yang jauh melampaui HET tanpa menyadari adanya pelanggaran. Regulator perlu merumuskan pedoman yang lebih eksplisit tentang komponen biaya apa saja yang diperbolehkan.</w:t>
      </w:r>
    </w:p>
    <w:p w14:paraId="1DE83DC6"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Sistem e-Katalog dalam Jaminan Kesehatan Nasional berfungsi mempublikasikan harga obat resmi untuk kebutuhan program jaminan kesehatan sosial (Agustini et al., 2022). Mekanisme tender yang kompetitif dalam e-Katalog bertujuan menekan harga dan mencegah </w:t>
      </w:r>
      <w:r w:rsidRPr="00C320DC">
        <w:rPr>
          <w:rFonts w:ascii="Bookman Old Style" w:hAnsi="Bookman Old Style"/>
          <w:i/>
          <w:iCs/>
          <w:szCs w:val="22"/>
          <w:lang w:val="en-US"/>
        </w:rPr>
        <w:t>mark up</w:t>
      </w:r>
      <w:r w:rsidRPr="00C320DC">
        <w:rPr>
          <w:rFonts w:ascii="Bookman Old Style" w:hAnsi="Bookman Old Style"/>
          <w:szCs w:val="22"/>
          <w:lang w:val="en-US"/>
        </w:rPr>
        <w:t>. Rumah sakit mitra BPJS Kesehatan wajib menggunakan harga e-Katalog untuk obat yang diresepkan kepada peserta JKN. Kebijakan ini relatif berhasil mengendalikan biaya obat dalam sistem jaminan sosial. Namun masalah muncul ketika pasien bukan peserta JKN atau ketika obat yang dibutuhkan tidak tersedia dalam e-Katalog. Untuk pasien umum atau pasien asuransi swasta, rumah sakit bebas menetapkan harga tanpa mengacu pada e-Katalog. Disparitas harga untuk produk obat yang sama dapat terjadi antara pasien BPJS dan pasien umum. Praktik ini secara etis menimbulkan pertanyaan tentang keadilan dalam pelayanan kesehatan. Perlu ada kajian lebih lanjut tentang perluasan cakupan e-Katalog untuk semua transaksi obat.</w:t>
      </w:r>
    </w:p>
    <w:p w14:paraId="7196A8D9" w14:textId="6E81A078" w:rsidR="002D2519" w:rsidRPr="001F4B70" w:rsidRDefault="002D2519" w:rsidP="002D2519">
      <w:pPr>
        <w:spacing w:after="0" w:line="240" w:lineRule="auto"/>
        <w:ind w:firstLine="567"/>
        <w:jc w:val="both"/>
        <w:rPr>
          <w:rFonts w:ascii="Bookman Old Style" w:hAnsi="Bookman Old Style"/>
          <w:spacing w:val="4"/>
          <w:szCs w:val="22"/>
          <w:lang w:val="en-US"/>
        </w:rPr>
      </w:pPr>
      <w:r w:rsidRPr="001F4B70">
        <w:rPr>
          <w:rFonts w:ascii="Bookman Old Style" w:hAnsi="Bookman Old Style"/>
          <w:spacing w:val="4"/>
          <w:szCs w:val="22"/>
          <w:lang w:val="en-US"/>
        </w:rPr>
        <w:t xml:space="preserve">Peraturan Pemerintah Nomor 28 Tahun 2024 melarang iklan produk kesehatan yang menjanjikan kesembuhan instan atau menggunakan testimoni berlebihan. Larangan ini diperkuat oleh Peraturan Menteri Kesehatan Nomor 76 Tahun 2013 yang mewajibkan materi iklan mendapat </w:t>
      </w:r>
      <w:r w:rsidRPr="001F4B70">
        <w:rPr>
          <w:rFonts w:ascii="Bookman Old Style" w:hAnsi="Bookman Old Style"/>
          <w:spacing w:val="4"/>
          <w:szCs w:val="22"/>
          <w:lang w:val="en-US"/>
        </w:rPr>
        <w:lastRenderedPageBreak/>
        <w:t xml:space="preserve">persetujuan sebelum ditayangkan. Tujuan utama regulasi ini adalah mencegah konsumen terpapar informasi yang menyesatkan tentang khasiat suatu produk (Widnyana &amp; Winia, 2024). Iklan yang tidak akurat dapat mendorong seseorang mengonsumsi obat tanpa indikasi medis yang jelas. Ketidakakuratan penyampaian informasi ini memiliki konsekuensi hukum yang nyata bagi produsen jika terbukti melanggar regulasi periklanan produk kesehatan melalui klaim yang menyesatkan (Mulyono </w:t>
      </w:r>
      <w:r w:rsidR="00597762" w:rsidRPr="001F4B70">
        <w:rPr>
          <w:rFonts w:ascii="Bookman Old Style" w:hAnsi="Bookman Old Style"/>
          <w:spacing w:val="4"/>
          <w:szCs w:val="22"/>
          <w:lang w:val="en-US"/>
        </w:rPr>
        <w:t>et al</w:t>
      </w:r>
      <w:r w:rsidRPr="001F4B70">
        <w:rPr>
          <w:rFonts w:ascii="Bookman Old Style" w:hAnsi="Bookman Old Style"/>
          <w:spacing w:val="4"/>
          <w:szCs w:val="22"/>
          <w:lang w:val="en-US"/>
        </w:rPr>
        <w:t>., 2024). Pengawasan terhadap iklan produk kesehatan di media televisi dan cetak relatif dapat dilakukan. Namun pengawasan di media sosial dan platform digital jauh lebih kompleks karena volume konten yang sangat besar. Perusahaan dapat dengan cepat mengubah materi iklan setelah mendapat persetujuan awal dari otoritas. Platform digital juga memungkinkan penargetan iklan yang sangat spesifik kepada kelompok tertentu. Regulator perlu mengembangkan kapasitas pengawasan digital yang memadai.</w:t>
      </w:r>
    </w:p>
    <w:p w14:paraId="3BD87775"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Kode Etik Pemasaran Farmasi Indonesia yang disusun oleh asosiasi industri membuat batasan tentang hadiah apa yang boleh diberikan kepada tenaga medis (Sari &amp; Darwati, 2023). Nilai maksimal suvenir dibatasi pada barang tidak mahal seperti alat tulis atau bahan pendidikan kedokteran. Pemberian dalam bentuk uang tunai, voucher belanja, atau fasilitas rekreasi dilarang secara tegas. Sponsor untuk menghadiri konferensi hanya diperbolehkan jika acara tersebut memiliki akreditasi dari organisasi profesi kedokteran. Perusahaan juga diharapkan mempublikasikan daftar kegiatan yang disponsori beserta jumlah dananya. Namun kode etik ini bersifat </w:t>
      </w:r>
      <w:r w:rsidRPr="00C320DC">
        <w:rPr>
          <w:rFonts w:ascii="Bookman Old Style" w:hAnsi="Bookman Old Style"/>
          <w:i/>
          <w:iCs/>
          <w:szCs w:val="22"/>
          <w:lang w:val="en-US"/>
        </w:rPr>
        <w:t>self regulation</w:t>
      </w:r>
      <w:r w:rsidRPr="00C320DC">
        <w:rPr>
          <w:rFonts w:ascii="Bookman Old Style" w:hAnsi="Bookman Old Style"/>
          <w:szCs w:val="22"/>
          <w:lang w:val="en-US"/>
        </w:rPr>
        <w:t xml:space="preserve"> tanpa sanksi hukum yang mengikat bagi pelanggar. Pelanggaran paling banter dikenakan sanksi administratif berupa teguran atau penghentian keanggotaan asosiasi. Tidak ada denda finansial yang signifikan atau pencabutan izin operasi. Kepatuhan terhadap kode etik sangat bergantung pada kesadaran etis masing-masing perusahaan.</w:t>
      </w:r>
    </w:p>
    <w:p w14:paraId="7A6B8942"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Undang-Undang Nomor 20 Tahun 2001 tentang Pemberantasan Tindak Pidana Korupsi melarang pegawai negeri termasuk dokter di fasilitas kesehatan pemerintah menerima gratifikasi. Namun undang-undang ini memberikan pengecualian untuk hadiah yang bersifat seremonial atau kegiatan pendidikan kedokteran berkelanjutan. Pengecualian ini mewajibkan pelaporan kepada Komisi Pemberantasan Korupsi untuk membedakan mana yang merupakan suap dan mana yang bukan. Perusahaan farmasi dapat membiayai perjalanan dokter ke konferensi dengan dalih kegiatan edukasi profesional. Dokter yang menerima sponsor tersebut wajib melaporkannya sebagai penerimaan gratifikasi sesuai ketentuan. Namun mekanisme pelaporan ini belum dikenal secara luas oleh seluruh tenaga medis di fasilitas pemerintah. Sosialisasi tentang kewajiban pelaporan gratifikasi perlu terus dilakukan oleh KPK bersama organisasi profesi. Tanpa pelaporan yang konsisten, sulit membedakan sponsor yang sah dari praktik suap terselubung.</w:t>
      </w:r>
    </w:p>
    <w:p w14:paraId="0A7DAD4E"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Perkembangan teknologi digital menciptakan tantangan baru dalam pengawasan promosi produk kesehatan. Perusahaan farmasi dapat menggunakan media sosial untuk menjangkau konsumen secara langsung tanpa melalui tenaga medis. Konten edukasi yang dibuat oleh perusahaan sering sulit dibedakan dari iklan komersial biasa. Strategi penetrasi ini </w:t>
      </w:r>
      <w:r w:rsidRPr="00C320DC">
        <w:rPr>
          <w:rFonts w:ascii="Bookman Old Style" w:hAnsi="Bookman Old Style"/>
          <w:szCs w:val="22"/>
          <w:lang w:val="en-US"/>
        </w:rPr>
        <w:lastRenderedPageBreak/>
        <w:t xml:space="preserve">memanfaatkan bauran komunikasi pemasaran digital modern, di antaranya berupa relevansi penggunaan </w:t>
      </w:r>
      <w:r w:rsidRPr="00C320DC">
        <w:rPr>
          <w:rFonts w:ascii="Bookman Old Style" w:hAnsi="Bookman Old Style"/>
          <w:i/>
          <w:iCs/>
          <w:szCs w:val="22"/>
          <w:lang w:val="en-US"/>
        </w:rPr>
        <w:t>email marketing</w:t>
      </w:r>
      <w:r w:rsidRPr="00C320DC">
        <w:rPr>
          <w:rFonts w:ascii="Bookman Old Style" w:hAnsi="Bookman Old Style"/>
          <w:szCs w:val="22"/>
          <w:lang w:val="en-US"/>
        </w:rPr>
        <w:t xml:space="preserve"> untuk menjaga keterikatan dengan target konsumen (Sinambela &amp; Darmawan, 2021). Lebih jauh lagi, efektivitas kampanye semacam ini ditopang oleh pemanfaatan data perilaku konsumen untuk merancang periklanan yang terpersonalisasi dalam ekosistem pemasaran digital (Fared &amp; Darmawan, 2021). Penggunaan dokter selebritas sebagai narasumber dalam konten digital juga marak terjadi. Penonton cenderung mempercayai rekomendasi dari figur yang mereka kagumi tanpa verifikasi ilmiah. Platform seperti TikTok, Instagram, dan YouTube memiliki kebijakan masing-masing tentang iklan produk kesehatan. Tidak semua platform mewajibkan pengungkapan secara jelas bahwa suatu konten merupakan iklan berbayar. Regulator di Indonesia belum memiliki kewenangan untuk memerintahkan platform asing menurunkan konten yang melanggar. Kerja sama lintas negara menjadi penting untuk mengatasi promosi produk kesehatan yang melintasi batas yurisdiksi.</w:t>
      </w:r>
    </w:p>
    <w:p w14:paraId="126E346C" w14:textId="77777777" w:rsidR="002D2519" w:rsidRPr="000C1EC3" w:rsidRDefault="002D2519" w:rsidP="002D2519">
      <w:pPr>
        <w:spacing w:after="0" w:line="240" w:lineRule="auto"/>
        <w:ind w:firstLine="567"/>
        <w:jc w:val="both"/>
        <w:rPr>
          <w:rFonts w:ascii="Bookman Old Style" w:hAnsi="Bookman Old Style"/>
          <w:spacing w:val="-2"/>
          <w:szCs w:val="22"/>
          <w:lang w:val="en-US"/>
        </w:rPr>
      </w:pPr>
      <w:r w:rsidRPr="000C1EC3">
        <w:rPr>
          <w:rFonts w:ascii="Bookman Old Style" w:hAnsi="Bookman Old Style"/>
          <w:spacing w:val="-2"/>
          <w:szCs w:val="22"/>
          <w:lang w:val="en-US"/>
        </w:rPr>
        <w:t xml:space="preserve">Mekanisme pelaporan pelanggaran oleh masyarakat masih memerlukan perbaikan agar lebih mudah diakses. Pasien yang merasa dirugikan oleh harga obat di atas HET perlu mengetahui prosedur pengaduan yang tersedia. Kementerian Kesehatan menyediakan saluran pengaduan melalui </w:t>
      </w:r>
      <w:r w:rsidRPr="000C1EC3">
        <w:rPr>
          <w:rFonts w:ascii="Bookman Old Style" w:hAnsi="Bookman Old Style"/>
          <w:i/>
          <w:iCs/>
          <w:spacing w:val="-2"/>
          <w:szCs w:val="22"/>
          <w:lang w:val="en-US"/>
        </w:rPr>
        <w:t>call center</w:t>
      </w:r>
      <w:r w:rsidRPr="000C1EC3">
        <w:rPr>
          <w:rFonts w:ascii="Bookman Old Style" w:hAnsi="Bookman Old Style"/>
          <w:spacing w:val="-2"/>
          <w:szCs w:val="22"/>
          <w:lang w:val="en-US"/>
        </w:rPr>
        <w:t xml:space="preserve"> dan aplikasi pengaduan konsumen. Namun tidak semua pasien memiliki akses atau pengetahuan tentang saluran tersebut. Laporan yang masuk perlu ditindaklanjuti dengan investigasi yang memadai dan pemberian sanksi yang tegas. Fasilitas kesehatan yang terbukti melanggar seharusnya dikenakan sanksi administratif seperti denda atau pencabutan izin sementara. Mekanisme kompensasi bagi pasien yang sudah membayar di atas HET juga perlu dirumuskan dengan jelas. Pelapor perlu mendapat kepastian bahwa identitas mereka akan dilindungi dari kemungkinan intimidasi. Sistem pengaduan yang efektif dapat menjadi instrumen pengawasan yang sangat kuat dari masyarakat.</w:t>
      </w:r>
    </w:p>
    <w:p w14:paraId="28DDD7B8" w14:textId="0A903FE1" w:rsidR="002D2519" w:rsidRPr="000C1EC3" w:rsidRDefault="002D2519" w:rsidP="002D2519">
      <w:pPr>
        <w:spacing w:after="0" w:line="240" w:lineRule="auto"/>
        <w:ind w:firstLine="567"/>
        <w:jc w:val="both"/>
        <w:rPr>
          <w:rFonts w:ascii="Bookman Old Style" w:hAnsi="Bookman Old Style"/>
          <w:spacing w:val="-2"/>
          <w:szCs w:val="22"/>
          <w:lang w:val="en-US"/>
        </w:rPr>
      </w:pPr>
      <w:r w:rsidRPr="000C1EC3">
        <w:rPr>
          <w:rFonts w:ascii="Bookman Old Style" w:hAnsi="Bookman Old Style"/>
          <w:spacing w:val="-2"/>
          <w:szCs w:val="22"/>
          <w:lang w:val="en-US"/>
        </w:rPr>
        <w:t xml:space="preserve">Struktur pasar farmasi di Indonesia yang relatif terkonsentrasi mempengaruhi dinamika kepatuhan terhadap regulasi. Beberapa perusahaan besar menguasai pangsa pasar yang signifikan untuk obat paten dan obat bermerek. Kekuatan pasar ini memberi mereka kemampuan untuk mempengaruhi harga dan pola distribusi (Ortiz, 2022). Kondisi dominasi pasar dan performa korporasi ini sering kali tercermin lewat indikator keuangan makro, seperti peran </w:t>
      </w:r>
      <w:r w:rsidRPr="000C1EC3">
        <w:rPr>
          <w:rFonts w:ascii="Bookman Old Style" w:hAnsi="Bookman Old Style"/>
          <w:i/>
          <w:iCs/>
          <w:spacing w:val="-2"/>
          <w:szCs w:val="22"/>
          <w:lang w:val="en-US"/>
        </w:rPr>
        <w:t>earning per share</w:t>
      </w:r>
      <w:r w:rsidRPr="000C1EC3">
        <w:rPr>
          <w:rFonts w:ascii="Bookman Old Style" w:hAnsi="Bookman Old Style"/>
          <w:spacing w:val="-2"/>
          <w:szCs w:val="22"/>
          <w:lang w:val="en-US"/>
        </w:rPr>
        <w:t xml:space="preserve"> (EPS) dan </w:t>
      </w:r>
      <w:r w:rsidRPr="000C1EC3">
        <w:rPr>
          <w:rFonts w:ascii="Bookman Old Style" w:hAnsi="Bookman Old Style"/>
          <w:i/>
          <w:iCs/>
          <w:spacing w:val="-2"/>
          <w:szCs w:val="22"/>
          <w:lang w:val="en-US"/>
        </w:rPr>
        <w:t>deviden per share</w:t>
      </w:r>
      <w:r w:rsidRPr="000C1EC3">
        <w:rPr>
          <w:rFonts w:ascii="Bookman Old Style" w:hAnsi="Bookman Old Style"/>
          <w:spacing w:val="-2"/>
          <w:szCs w:val="22"/>
          <w:lang w:val="en-US"/>
        </w:rPr>
        <w:t xml:space="preserve"> (DPS) terhadap fluktuasi harga saham perusahaan di bursa (Sinambela, 2021). Perusahaan kecil sering merasa tertekan untuk mengikuti praktik yang sudah berjalan agar tetap kompetitif. Kepatuhan terhadap regulasi etika dapat menjadi beban biaya tambahan yang tidak dialami oleh pesaing yang tidak patuh. Fenomena ini dikenal dalam literatur ekonomi sebagai persaingan menuju dasar (</w:t>
      </w:r>
      <w:r w:rsidRPr="000C1EC3">
        <w:rPr>
          <w:rFonts w:ascii="Bookman Old Style" w:hAnsi="Bookman Old Style"/>
          <w:i/>
          <w:iCs/>
          <w:spacing w:val="-2"/>
          <w:szCs w:val="22"/>
          <w:lang w:val="en-US"/>
        </w:rPr>
        <w:t>race to the bottom</w:t>
      </w:r>
      <w:r w:rsidRPr="000C1EC3">
        <w:rPr>
          <w:rFonts w:ascii="Bookman Old Style" w:hAnsi="Bookman Old Style"/>
          <w:spacing w:val="-2"/>
          <w:szCs w:val="22"/>
          <w:lang w:val="en-US"/>
        </w:rPr>
        <w:t xml:space="preserve">). Sebagai alternatif strategi bertahan, pelaku usaha di sektor komplementer seperti industri jamu kedokteran mulai menggeser fokus pada pengamatan loyalitas merek obat herbal berdasarkan aspek kemasan dan harga yang lebih bersahabat bagi konsumen (Khayru </w:t>
      </w:r>
      <w:r w:rsidR="00597762" w:rsidRPr="000C1EC3">
        <w:rPr>
          <w:rFonts w:ascii="Bookman Old Style" w:hAnsi="Bookman Old Style"/>
          <w:spacing w:val="-2"/>
          <w:szCs w:val="22"/>
          <w:lang w:val="en-US"/>
        </w:rPr>
        <w:t>et al</w:t>
      </w:r>
      <w:r w:rsidRPr="000C1EC3">
        <w:rPr>
          <w:rFonts w:ascii="Bookman Old Style" w:hAnsi="Bookman Old Style"/>
          <w:spacing w:val="-2"/>
          <w:szCs w:val="22"/>
          <w:lang w:val="en-US"/>
        </w:rPr>
        <w:t xml:space="preserve">., 2021). Ketika korporasi mencoba mengadopsi narasi kepedulian sosial, mereka dihadapkan pada pilihan antara menerapkan </w:t>
      </w:r>
      <w:r w:rsidRPr="000C1EC3">
        <w:rPr>
          <w:rFonts w:ascii="Bookman Old Style" w:hAnsi="Bookman Old Style"/>
          <w:i/>
          <w:iCs/>
          <w:spacing w:val="-2"/>
          <w:szCs w:val="22"/>
          <w:lang w:val="en-US"/>
        </w:rPr>
        <w:t>green marketing</w:t>
      </w:r>
      <w:r w:rsidRPr="000C1EC3">
        <w:rPr>
          <w:rFonts w:ascii="Bookman Old Style" w:hAnsi="Bookman Old Style"/>
          <w:spacing w:val="-2"/>
          <w:szCs w:val="22"/>
          <w:lang w:val="en-US"/>
        </w:rPr>
        <w:t xml:space="preserve"> yang otentik atau terjebak dalam praktik </w:t>
      </w:r>
      <w:r w:rsidRPr="000C1EC3">
        <w:rPr>
          <w:rFonts w:ascii="Bookman Old Style" w:hAnsi="Bookman Old Style"/>
          <w:i/>
          <w:iCs/>
          <w:spacing w:val="-2"/>
          <w:szCs w:val="22"/>
          <w:lang w:val="en-US"/>
        </w:rPr>
        <w:t>greenwashing</w:t>
      </w:r>
      <w:r w:rsidRPr="000C1EC3">
        <w:rPr>
          <w:rFonts w:ascii="Bookman Old Style" w:hAnsi="Bookman Old Style"/>
          <w:spacing w:val="-2"/>
          <w:szCs w:val="22"/>
          <w:lang w:val="en-US"/>
        </w:rPr>
        <w:t xml:space="preserve"> yang justru memicu respons negatif konsumen terhadap klaim </w:t>
      </w:r>
      <w:r w:rsidRPr="000C1EC3">
        <w:rPr>
          <w:rFonts w:ascii="Bookman Old Style" w:hAnsi="Bookman Old Style"/>
          <w:spacing w:val="-2"/>
          <w:szCs w:val="22"/>
          <w:lang w:val="en-US"/>
        </w:rPr>
        <w:lastRenderedPageBreak/>
        <w:t xml:space="preserve">lingkungan yang semu (Mardikaningsih </w:t>
      </w:r>
      <w:r w:rsidR="00597762" w:rsidRPr="000C1EC3">
        <w:rPr>
          <w:rFonts w:ascii="Bookman Old Style" w:hAnsi="Bookman Old Style"/>
          <w:spacing w:val="-2"/>
          <w:szCs w:val="22"/>
          <w:lang w:val="en-US"/>
        </w:rPr>
        <w:t>et al</w:t>
      </w:r>
      <w:r w:rsidRPr="000C1EC3">
        <w:rPr>
          <w:rFonts w:ascii="Bookman Old Style" w:hAnsi="Bookman Old Style"/>
          <w:spacing w:val="-2"/>
          <w:szCs w:val="22"/>
          <w:lang w:val="en-US"/>
        </w:rPr>
        <w:t xml:space="preserve">., 2025b). Bagi segmen produk premium, tantangan ini dijawab melalui penerapan strategi </w:t>
      </w:r>
      <w:r w:rsidRPr="000C1EC3">
        <w:rPr>
          <w:rFonts w:ascii="Bookman Old Style" w:hAnsi="Bookman Old Style"/>
          <w:i/>
          <w:iCs/>
          <w:spacing w:val="-2"/>
          <w:szCs w:val="22"/>
          <w:lang w:val="en-US"/>
        </w:rPr>
        <w:t>green pricing</w:t>
      </w:r>
      <w:r w:rsidRPr="000C1EC3">
        <w:rPr>
          <w:rFonts w:ascii="Bookman Old Style" w:hAnsi="Bookman Old Style"/>
          <w:spacing w:val="-2"/>
          <w:szCs w:val="22"/>
          <w:lang w:val="en-US"/>
        </w:rPr>
        <w:t xml:space="preserve"> pada produk mewah berkelanjutan, yang memperhitungkan secara cermat elastisitas harga dan strategi komunikasi nilai premium kepada pasar (Mardikaningsih &amp; Aisyah, 2025). Regulator perlu menciptakan insentif bagi kepatuhan, misalnya dengan memberikan skor kepatuhan etika sebagai persyaratan tender pengadaan pemerintah. Publikasi peringkat kepatuhan perusahaan juga dapat memberi tekanan reputasi yang positif. Dengan insentif yang tepat, kepatuhan terhadap etika dapat menjadi keunggulan kompetitif.</w:t>
      </w:r>
    </w:p>
    <w:p w14:paraId="61A9886E" w14:textId="28003805"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 xml:space="preserve">Hubungan antara rumah sakit pemerintah dan industri farmasi memerlukan perhatian khusus karena melibatkan anggaran negara. Dokter yang bekerja di rumah sakit pemerintah terikat oleh kode etik aparatur sipil negara dan undang-undang korupsi. Pengawasan internal rumah sakit dapat diperkuat dengan memanfaatkan data peresepan elektronik yang tersedia. Sistem informasi rumah sakit dapat mendeteksi apakah seorang dokter meresepkan obat tertentu secara tidak proporsional dibandingkan rerata. Pola peresepan yang menyimpang dapat menjadi indikasi awal adanya pengaruh dari industri farmasi. Deteksi dini atas penyimpangan operasional ini menuntut penguatan tata kelola internal korporasi, yang secara struktural dipengaruhi oleh keberhasilan proses integrasi fungsi SDM dengan fungsi pemasaran, produksi, dan keuangan (Darmawan </w:t>
      </w:r>
      <w:r w:rsidR="00597762">
        <w:rPr>
          <w:rFonts w:ascii="Bookman Old Style" w:hAnsi="Bookman Old Style"/>
          <w:szCs w:val="22"/>
          <w:lang w:val="en-US"/>
        </w:rPr>
        <w:t>et al</w:t>
      </w:r>
      <w:r w:rsidRPr="00C320DC">
        <w:rPr>
          <w:rFonts w:ascii="Bookman Old Style" w:hAnsi="Bookman Old Style"/>
          <w:szCs w:val="22"/>
          <w:lang w:val="en-US"/>
        </w:rPr>
        <w:t>., 2013). Namun penggunaan data ini untuk tujuan pengawasan masih jarang dilakukan karena keterbatasan sumber daya. Komite etik rumah sakit perlu diberi wewenang dan pelatihan untuk melakukan audit peresepan secara berkala. Temuan audit dapat ditindaklanjuti dengan pembinaan atau sanksi sesuai tingkat pelanggaran. Integritas pelayanan kesehatan sangat tergantung pada keberanian pimpinan rumah sakit untuk menegakkan aturan (Ceretta et al., 2023).</w:t>
      </w:r>
    </w:p>
    <w:p w14:paraId="3FE3D4F4" w14:textId="77777777" w:rsidR="002D2519" w:rsidRPr="00C320DC" w:rsidRDefault="002D2519" w:rsidP="002D2519">
      <w:pPr>
        <w:spacing w:after="0" w:line="240" w:lineRule="auto"/>
        <w:ind w:firstLine="567"/>
        <w:jc w:val="both"/>
        <w:rPr>
          <w:rFonts w:ascii="Bookman Old Style" w:hAnsi="Bookman Old Style"/>
          <w:szCs w:val="22"/>
          <w:lang w:val="en-US"/>
        </w:rPr>
      </w:pPr>
      <w:r w:rsidRPr="00C320DC">
        <w:rPr>
          <w:rFonts w:ascii="Bookman Old Style" w:hAnsi="Bookman Old Style"/>
          <w:szCs w:val="22"/>
          <w:lang w:val="en-US"/>
        </w:rPr>
        <w:t>Pendidikan etika bisnis farmasi di fakultas kedokteran dan fakultas farmasi masih menjadi perhatian para akademisi. Kurikulum saat ini lebih banyak membahas aspek klinis dan teknis dibandingkan aspek etika hubungan dengan industri. Mahasiswa kedokteran jarang mendapat simulasi tentang bagaimana merespon tawaran sponsor dari perusahaan farmasi. Akibatnya, lulusan yang memasuki praktik profesional belum siap menghadapi tekanan industri yang intensif. Beberapa fakultas mulai mengintegrasikan modul etika hubungan dokter-industri ke dalam mata kuliah ilmu sosial kedokteran. Studi kasus tentang pelanggaran etika farmasi dapat digunakan sebagai bahan diskusi yang relevan. Organisasi profesi seperti Ikatan Dokter Indonesia dapat mewajibkan pelatihan etika bisnis untuk perpanjangan Surat Tanda Registrasi. Pendidikan yang memadai sejak dini akan membangun kesadaran etis yang lebih kuat pada generasi tenaga medis mendatang. Upaya ini bersifat jangka panjang namun fundamental untuk perubahan sistemik.</w:t>
      </w:r>
    </w:p>
    <w:p w14:paraId="5AFC340D" w14:textId="77777777" w:rsidR="00C813EF" w:rsidRPr="00C320DC" w:rsidRDefault="00C813EF" w:rsidP="00CB03D3">
      <w:pPr>
        <w:spacing w:after="0" w:line="240" w:lineRule="auto"/>
        <w:ind w:firstLine="567"/>
        <w:jc w:val="both"/>
        <w:rPr>
          <w:rFonts w:ascii="Bookman Old Style" w:hAnsi="Bookman Old Style"/>
          <w:szCs w:val="22"/>
        </w:rPr>
      </w:pPr>
      <w:r w:rsidRPr="00C320DC">
        <w:rPr>
          <w:rFonts w:ascii="Bookman Old Style" w:hAnsi="Bookman Old Style"/>
          <w:szCs w:val="22"/>
        </w:rPr>
        <w:t xml:space="preserve">Koordinasi antar lembaga pengawas merupakan faktor kunci dalam penegakan regulasi etika bisnis farmasi. Kasus harga obat di atas HET melibatkan Kementerian Kesehatan sebagai pembina fasilitas kesehatan. Kasus persaingan usaha tidak sehat melibatkan Kementerian Perdagangan dan Komisi Pengawas Persaingan Usaha. Kasus gratifikasi yang melibatkan aparatur sipil negara menjadi ranah Komisi Pemberantasan Korupsi dan </w:t>
      </w:r>
      <w:r w:rsidRPr="00C320DC">
        <w:rPr>
          <w:rFonts w:ascii="Bookman Old Style" w:hAnsi="Bookman Old Style"/>
          <w:szCs w:val="22"/>
        </w:rPr>
        <w:lastRenderedPageBreak/>
        <w:t>Kepolisian. Masing masing lembaga memiliki prosedur dan standar bukti yang berbeda sehingga koordinasi sering terhambat. Pelaku usaha dapat memanfaatkan ketiadaan koordinasi ini untuk mengulur waktu atau menghindari sanksi. Perlunya mekanisme koordinasi yang jelas antar lembaga telah diusulkan dalam berbagai forum kebijakan. Pembentukan gugus tugas bersama yang terdiri dari semua pemangku kepentingan dapat menjadi solusi. Keppres atau Perpres yang mengatur alur koordinasi perlu dipertimbangkan untuk memberi kepastian hukum. Tanpa koordinasi yang baik, penegakan regulasi akan tetap berjalan parsial dan tidak efektif.</w:t>
      </w:r>
    </w:p>
    <w:p w14:paraId="0AB4A81A" w14:textId="77777777" w:rsidR="00915B92" w:rsidRPr="00C320DC" w:rsidRDefault="00915B92" w:rsidP="004B2ECB">
      <w:pPr>
        <w:spacing w:after="0" w:line="240" w:lineRule="auto"/>
        <w:jc w:val="both"/>
        <w:rPr>
          <w:rFonts w:ascii="Bookman Old Style" w:hAnsi="Bookman Old Style"/>
          <w:szCs w:val="22"/>
        </w:rPr>
      </w:pPr>
    </w:p>
    <w:p w14:paraId="75E4B732" w14:textId="36167E06" w:rsidR="00915B92" w:rsidRPr="00C320DC" w:rsidRDefault="00915B92" w:rsidP="004B2ECB">
      <w:pPr>
        <w:spacing w:after="0" w:line="240" w:lineRule="auto"/>
        <w:jc w:val="both"/>
        <w:rPr>
          <w:rFonts w:ascii="Bookman Old Style" w:hAnsi="Bookman Old Style"/>
          <w:szCs w:val="22"/>
        </w:rPr>
      </w:pPr>
      <w:r w:rsidRPr="00C320DC">
        <w:rPr>
          <w:rFonts w:ascii="Bookman Old Style" w:hAnsi="Bookman Old Style"/>
          <w:b/>
          <w:bCs/>
          <w:szCs w:val="22"/>
        </w:rPr>
        <w:t>PENUTUP</w:t>
      </w:r>
    </w:p>
    <w:p w14:paraId="6E2C3CB5" w14:textId="77777777" w:rsidR="00915B92" w:rsidRPr="00C320DC" w:rsidRDefault="00915B92" w:rsidP="00CB03D3">
      <w:pPr>
        <w:spacing w:after="0" w:line="240" w:lineRule="auto"/>
        <w:ind w:firstLine="567"/>
        <w:jc w:val="both"/>
        <w:rPr>
          <w:rFonts w:ascii="Bookman Old Style" w:hAnsi="Bookman Old Style"/>
          <w:szCs w:val="22"/>
        </w:rPr>
      </w:pPr>
      <w:r w:rsidRPr="00C320DC">
        <w:rPr>
          <w:rFonts w:ascii="Bookman Old Style" w:hAnsi="Bookman Old Style"/>
          <w:szCs w:val="22"/>
        </w:rPr>
        <w:t>Industri farmasi di Indonesia memiliki kerangka regulasi yang memadai untuk mengatur transparansi harga obat dan etika promosi produk kesehatan, namun implementasi dan penegakannya masih sangat lemah. Peraturan Menteri Kesehatan Nomor 98 Tahun 2015 mewajibkan pencantuman HET, sementara Peraturan Pemerintah Nomor 28 Tahun 2024 melarang iklan yang menyesatkan dan menjanjikan kesembuhan instan. Undang Undang Nomor 20 Tahun 2001 tentang Pemberantasan Korupsi serta Kode Etik Pemasaran Farmasi mengatur hubungan dokter dengan industri, termasuk batasan gratifikasi dan sponsor. Namun pelanggaran masih terjadi secara meluas karena sanksi yang lemah, pengawasan yang tidak efektif, dan celah hukum yang dapat dimanfaatkan. Pasien sebagai konsumen akhir terus menanggung beban biaya pengobatan yang tidak wajar akibat disparitas harga yang tidak terkendali. Promosi produk kesehatan yang tidak etis juga membahayakan keselamatan pasien dengan mendorong penggunaan obat secara tidak rasional. Studi ini menyimpulkan bahwa keberadaan regulasi saja tidak cukup tanpa disertai kemauan politik untuk menegakkannya secara konsisten.</w:t>
      </w:r>
    </w:p>
    <w:p w14:paraId="5812E272" w14:textId="77777777" w:rsidR="00915B92" w:rsidRPr="00C320DC" w:rsidRDefault="00915B92" w:rsidP="00CB03D3">
      <w:pPr>
        <w:spacing w:after="0" w:line="240" w:lineRule="auto"/>
        <w:ind w:firstLine="567"/>
        <w:jc w:val="both"/>
        <w:rPr>
          <w:rFonts w:ascii="Bookman Old Style" w:hAnsi="Bookman Old Style"/>
          <w:szCs w:val="22"/>
        </w:rPr>
      </w:pPr>
      <w:r w:rsidRPr="00C320DC">
        <w:rPr>
          <w:rFonts w:ascii="Bookman Old Style" w:hAnsi="Bookman Old Style"/>
          <w:szCs w:val="22"/>
        </w:rPr>
        <w:t>Implikasi teoretis dari studi ini adalah perlunya pengembangan model pengawasan etika bisnis yang tidak hanya mengandalkan regulasi formal tetapi juga mekanisme partisipasi publik dan transparansi data. Secara praktis, Kementerian Kesehatan disarankan untuk membangun sistem pelaporan digital yang melindungi identitas pelapor dan memberikan kompensasi cepat bagi pasien yang dirugikan. Penggunaan teknologi kecerdasan buatan untuk memonitor iklan produk kesehatan di media sosial perlu segera diimplementasikan. Sanksi administratif seperti denda yang besar dan pencabutan izin edar sementara harus diterapkan secara konsisten terhadap pelanggar. Untuk hubungan dokter industri, perlu ada kewajiban bagi dokter untuk mempublikasikan semua penerimaan dana dari perusahaan farmasi dalam situs yang dapat diakses publik. Organisasi profesi kedokteran harus merevisi kode etiknya dengan larangan tegas terhadap penerimaan sponsor perjalanan dari industri. Penelitian selanjutnya disarankan untuk melakukan studi empiris tentang efektivitas sistem pengawasan di negara lain yang lebih maju dalam etika farmasi.</w:t>
      </w:r>
    </w:p>
    <w:p w14:paraId="1257302C" w14:textId="77777777" w:rsidR="00915B92" w:rsidRPr="00C320DC" w:rsidRDefault="00915B92" w:rsidP="004B2ECB">
      <w:pPr>
        <w:spacing w:after="0" w:line="240" w:lineRule="auto"/>
        <w:jc w:val="both"/>
        <w:rPr>
          <w:rFonts w:ascii="Bookman Old Style" w:hAnsi="Bookman Old Style"/>
          <w:szCs w:val="22"/>
        </w:rPr>
      </w:pPr>
    </w:p>
    <w:p w14:paraId="7FB9F066" w14:textId="138FFE8F" w:rsidR="002D2519" w:rsidRPr="0066272C" w:rsidRDefault="007D7377" w:rsidP="002D2519">
      <w:pPr>
        <w:spacing w:after="0" w:line="240" w:lineRule="auto"/>
        <w:jc w:val="both"/>
        <w:rPr>
          <w:rFonts w:ascii="Bookman Old Style" w:hAnsi="Bookman Old Style"/>
          <w:spacing w:val="-10"/>
          <w:szCs w:val="22"/>
        </w:rPr>
      </w:pPr>
      <w:r w:rsidRPr="0066272C">
        <w:rPr>
          <w:rFonts w:ascii="Bookman Old Style" w:hAnsi="Bookman Old Style"/>
          <w:b/>
          <w:bCs/>
          <w:spacing w:val="-10"/>
          <w:szCs w:val="22"/>
        </w:rPr>
        <w:t>DAFTAR PUSTAKA</w:t>
      </w:r>
    </w:p>
    <w:p w14:paraId="1B486DF2"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 xml:space="preserve">Agustini, K., Hurriyati, R., Gaffar, V., Tiana, B., &amp; Novianti, W. (2022). The effectiveness of electronic purchase on ordering national health </w:t>
      </w:r>
      <w:r w:rsidRPr="0066272C">
        <w:rPr>
          <w:rFonts w:ascii="Bookman Old Style" w:hAnsi="Bookman Old Style"/>
          <w:spacing w:val="-2"/>
          <w:sz w:val="24"/>
          <w:szCs w:val="24"/>
        </w:rPr>
        <w:lastRenderedPageBreak/>
        <w:t>insurance drugs at the West Bandung pharmacy of Indonesia. Journal of Eastern European and Central Asian Research, 9(5), 815–823. https://doi.org/10.15549/jeecar.v9i5.1062</w:t>
      </w:r>
    </w:p>
    <w:p w14:paraId="44AE9E2D"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Arifin, S., Irfan, M., Darmawan, D., Putra, A. R., &amp; Al Hakim, Y. R. (2014). Segmentation, Targeting, Positioning untuk Strategi Pemasaran Efektif. Jurnal Ekonomi dan Bisnis, 4(2).</w:t>
      </w:r>
    </w:p>
    <w:p w14:paraId="79F70633"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Astărăstoae, V., Rogozea, L., Leaşu, F., &amp; Ro</w:t>
      </w:r>
      <w:r w:rsidRPr="0066272C">
        <w:rPr>
          <w:rFonts w:ascii="Cambria" w:hAnsi="Cambria" w:cs="Cambria"/>
          <w:spacing w:val="-2"/>
          <w:sz w:val="24"/>
          <w:szCs w:val="24"/>
        </w:rPr>
        <w:t>ș</w:t>
      </w:r>
      <w:r w:rsidRPr="0066272C">
        <w:rPr>
          <w:rFonts w:ascii="Bookman Old Style" w:hAnsi="Bookman Old Style"/>
          <w:spacing w:val="-2"/>
          <w:sz w:val="24"/>
          <w:szCs w:val="24"/>
        </w:rPr>
        <w:t xml:space="preserve">ca, </w:t>
      </w:r>
      <w:r w:rsidRPr="0066272C">
        <w:rPr>
          <w:rFonts w:ascii="Cambria" w:hAnsi="Cambria" w:cs="Cambria"/>
          <w:spacing w:val="-2"/>
          <w:sz w:val="24"/>
          <w:szCs w:val="24"/>
        </w:rPr>
        <w:t>Ș</w:t>
      </w:r>
      <w:r w:rsidRPr="0066272C">
        <w:rPr>
          <w:rFonts w:ascii="Bookman Old Style" w:hAnsi="Bookman Old Style"/>
          <w:spacing w:val="-2"/>
          <w:sz w:val="24"/>
          <w:szCs w:val="24"/>
        </w:rPr>
        <w:t>tefan. (2024). Drug Promotions Between Ethics, Regulations, and Financial Interests.</w:t>
      </w:r>
      <w:r w:rsidRPr="0066272C">
        <w:rPr>
          <w:rFonts w:ascii="Bookman Old Style" w:hAnsi="Bookman Old Style" w:cs="Bookman Old Style"/>
          <w:spacing w:val="-2"/>
          <w:sz w:val="24"/>
          <w:szCs w:val="24"/>
        </w:rPr>
        <w:t> </w:t>
      </w:r>
      <w:r w:rsidRPr="0066272C">
        <w:rPr>
          <w:rFonts w:ascii="Bookman Old Style" w:hAnsi="Bookman Old Style"/>
          <w:spacing w:val="-2"/>
          <w:sz w:val="24"/>
          <w:szCs w:val="24"/>
        </w:rPr>
        <w:t>American Journal of Therapeutics, 31(3), e268–e279. https://doi.org/10.1097/mjt.0000000000001754</w:t>
      </w:r>
    </w:p>
    <w:p w14:paraId="14B5DB46"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Batool, S., Qureshi, S., &amp; Malik, S. (2024). Unethical Behavior of Pharmaceutical Companies. 37–43. https://doi.org/10.2174/9789815223859124010009</w:t>
      </w:r>
    </w:p>
    <w:p w14:paraId="1FA9D2F1"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Bennett, S., &amp; Chan, T. (2003). Pharmaceutical Supply Chains in Southeast Asia: Structure and Inefficiencies. Health Policy and Planning, 18(4), 384-395.</w:t>
      </w:r>
    </w:p>
    <w:p w14:paraId="510E181B"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Ceretta, J. C., Seibert, R. M., &amp; Callegaro, A. R. C. (2023). Hospital management: Operational audit as a strategic tool for waste control. https://doi.org/10.56238/globalhealthprespesc-034</w:t>
      </w:r>
    </w:p>
    <w:p w14:paraId="24BF9243"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Charmaz, K. (2006). Constructing Grounded Theory: A Practical Guide through Qualitative Analysis. Sage Publications.</w:t>
      </w:r>
    </w:p>
    <w:p w14:paraId="645ACEA2"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Darmawan, D. (2012). Studi Tentang Peran Persepsi Harga Premi dan Pengalaman Merek Terhadap Minat Mereferensikan Merek. Jurnal Ekonomi dan Bisnis, 2(2), 38–44.</w:t>
      </w:r>
    </w:p>
    <w:p w14:paraId="0AB602D5"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 xml:space="preserve">Darmawan, D., Mardikaningsih, R., &amp; Putra, A. R. (2013). Proses integrasi fungsi SDM dengan fungsi pemasaran, produksi, dan keuangan. Jurnal Ekonomi dan Bisnis, 3(1), 32–42. </w:t>
      </w:r>
    </w:p>
    <w:p w14:paraId="03976107"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Fared, M. A. &amp; D. Darmawan. (2021). Use of Consumer Behaviour Data for Personalised Advertising in Digital Marketing, Studi Ilmu Sosial Indonesia, 1(2), 93-108.</w:t>
      </w:r>
    </w:p>
    <w:p w14:paraId="6171ED22"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Fink, A. (2005). Conducting Research Literature Reviews: From the Internet to Paper (2nd ed.). Sage Publications.</w:t>
      </w:r>
    </w:p>
    <w:p w14:paraId="6AA315E7"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Glaser, B. G., &amp; Strauss, A. L. (1967). The Discovery of Grounded Theory: Strategies for Qualitative Research. Aldine Publishing Company.</w:t>
      </w:r>
    </w:p>
    <w:p w14:paraId="0D8C35FC"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Gordon, J., Potthast, H., Stahl, M., &amp; Rägo, L. (2017). World Health Organisation (WHO). 307–331. https://doi.org/10.1007/978-3-319-68078-1_11</w:t>
      </w:r>
    </w:p>
    <w:p w14:paraId="56FFA9B6"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Irawan, B., Januarita, R., &amp; Suminar, S. R. (2023). Legal and Ethical Protection in Drug Distribution: Examining Health Efforts and Drug Supervision in Indonesia. Intellectual Law Review/Intellectual Law Review, Cianjur, 1(2), 53–65. https://doi.org/10.59108/ilre.v1i2.40</w:t>
      </w:r>
    </w:p>
    <w:p w14:paraId="291E888E"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lastRenderedPageBreak/>
        <w:t>Khayru, R. K., Wisnujati, R. N. S., Darmawan, D., &amp; Issalillah, F. (2021). Pengamatan Loyalitas Merek Obat Herbal Berdasarkan Kemasan dan Harga. Jurnal Simki Economic, 4(2), 121-132.</w:t>
      </w:r>
    </w:p>
    <w:p w14:paraId="13697679"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Kim, S. D., Nathanson, P., &amp; Feudtner, C. (2023). Argument analysis of the ethical claims made by the pharmaceutical industry regarding drug pricing. Bioethics Open Research, 1, 2–2. https://doi.org/10.12688/bioethopenres.17473.1</w:t>
      </w:r>
    </w:p>
    <w:p w14:paraId="4FF2ACFD"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Komesaroff, P. A., &amp; Kerridge, I. H. (2002). Ethical issues concerning the relationships between medical practitioners and the pharmaceutical industry. The Medical Journal of Australia, 176. https://doi.org/10.5694/j.1326-5377.2002.tb04318.x</w:t>
      </w:r>
    </w:p>
    <w:p w14:paraId="2BE3461F"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Mansyur, M., Mujito, M., Halizah, S. N., Gautama, E. C., &amp; Khayru, R. K. (2024). The Negligence of Healthcare Workers in the Use of Herbal Medicines: Legal Implications and Impacts on Patients. International Journal of Service Science, Management, Engineering, and Technology, 6(2), 29-37.</w:t>
      </w:r>
    </w:p>
    <w:p w14:paraId="4905CF6E"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Mardikaningsih, R, S. N. Halizah, R. Nuraini, &amp; D. Darmawan. (2021). Clashes Between Local Values and Green Marketing Approaches in Traditional Communities, Studi Ilmu Sosial Indonesia, 1(2), 157-172.</w:t>
      </w:r>
    </w:p>
    <w:p w14:paraId="7EF38354"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Mardikaningsih, R., &amp; Aisyah, N. (2025). Strategi Green Pricing pada Produk Mewah Berkelanjutan: Elastisitas Harga dan Komunikasi Nilai Premium. Jurnal Ekonomi dan Bisnis, 15(2).</w:t>
      </w:r>
    </w:p>
    <w:p w14:paraId="5F021B95"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Mardikaningsih, R., Hariani, M., &amp; Issalillah, F. (2025). Green Marketing Otentik dan Greenwashing: Respons Konsumen Terhadap Klaim Lingkungan. Jurnal Ekonomi dan Bisnis, 15(1).</w:t>
      </w:r>
    </w:p>
    <w:p w14:paraId="6EE91CE3"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Mintzes, B. (2005). Direct to Consumer Advertising of Prescription Drugs in Canada. British Medical Journal, 330(7489), 482-484.</w:t>
      </w:r>
    </w:p>
    <w:p w14:paraId="000610AD"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Mulyono, E., Saputra, R., &amp; Khayru, R. K. (2024). Health Product Advertising Regulations and the Legal Consequences of Misleading Claims. Journal of Social Science Studies, 4(1), 349-358.</w:t>
      </w:r>
    </w:p>
    <w:p w14:paraId="03BA7905"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Nadjib, M., Sari, K. I. P., &amp; Yunita. (2021). Capturing Pharmaceuticals Expenditures in Indonesia 2012. https://doi.org/10.13140/rg.2.2.33989.27366</w:t>
      </w:r>
    </w:p>
    <w:p w14:paraId="23C162D3"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Ortiz, E. (2022). Economic Considerations in The Provision and Use of Medicines1. 186–210. https://doi.org/10.4324/9781003282143-7</w:t>
      </w:r>
    </w:p>
    <w:p w14:paraId="4CF90E04"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Peraturan Menteri Kesehatan Nomor 76 Tahun 2013 tentang Iklan Alat Kesehatan dan Perbekalan Kesehatan Rumah Tangga.</w:t>
      </w:r>
    </w:p>
    <w:p w14:paraId="099B7D28"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Peraturan Menteri Kesehatan Nomor 98 Tahun 2015 tentang Pemberian Informasi Harga Eceran Tertinggi Obat.</w:t>
      </w:r>
    </w:p>
    <w:p w14:paraId="2D1D28DF"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Peraturan Pemerintah Nomor 28 Tahun 2024 tentang Peraturan Pelaksanaan Undang Undang Kesehatan.</w:t>
      </w:r>
    </w:p>
    <w:p w14:paraId="52B5B579"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 xml:space="preserve">Rachim, R., Hardyansah, R., &amp; Khayru, R. K. (2024). The Obligation of Medical Cost and Risk Information Transparency by Private </w:t>
      </w:r>
      <w:r w:rsidRPr="0066272C">
        <w:rPr>
          <w:rFonts w:ascii="Bookman Old Style" w:hAnsi="Bookman Old Style"/>
          <w:spacing w:val="-2"/>
          <w:sz w:val="24"/>
          <w:szCs w:val="24"/>
        </w:rPr>
        <w:lastRenderedPageBreak/>
        <w:t>Healthcare Providers in Indonesian Legal Construction. Journal of Social Science Studies, 4(2), 207-222.</w:t>
      </w:r>
    </w:p>
    <w:p w14:paraId="1FFFC138"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Sari, I. P., &amp; Darwati, D. (2023). Gratification in indonesian medical practice. 2(1), 31–38. https://doi.org/10.58631/injurity.v2i1.22</w:t>
      </w:r>
    </w:p>
    <w:p w14:paraId="31A44827"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 xml:space="preserve">Satibi, S., P, L. K. K., P, M. A., Hutasoit, M. B., &amp; Pribadi, P. (2022). </w:t>
      </w:r>
      <w:r w:rsidRPr="0066272C">
        <w:rPr>
          <w:rFonts w:ascii="Tahoma" w:hAnsi="Tahoma" w:cs="Tahoma"/>
          <w:spacing w:val="-2"/>
          <w:sz w:val="24"/>
          <w:szCs w:val="24"/>
        </w:rPr>
        <w:t>﻿</w:t>
      </w:r>
      <w:r w:rsidRPr="0066272C">
        <w:rPr>
          <w:rFonts w:ascii="Bookman Old Style" w:hAnsi="Bookman Old Style"/>
          <w:spacing w:val="-2"/>
          <w:sz w:val="24"/>
          <w:szCs w:val="24"/>
        </w:rPr>
        <w:t>Analysis of e-catalogue drug prices in the era of Universal Health Coverage in the Indonesian pharmaceutical industry.</w:t>
      </w:r>
      <w:r w:rsidRPr="0066272C">
        <w:rPr>
          <w:rFonts w:ascii="Bookman Old Style" w:hAnsi="Bookman Old Style" w:cs="Bookman Old Style"/>
          <w:spacing w:val="-2"/>
          <w:sz w:val="24"/>
          <w:szCs w:val="24"/>
        </w:rPr>
        <w:t> </w:t>
      </w:r>
      <w:r w:rsidRPr="0066272C">
        <w:rPr>
          <w:rFonts w:ascii="Bookman Old Style" w:hAnsi="Bookman Old Style"/>
          <w:spacing w:val="-2"/>
          <w:sz w:val="24"/>
          <w:szCs w:val="24"/>
        </w:rPr>
        <w:t>Фармация, 69(2), 555–562. https://doi.org/10.3897/pharmacia.69.e83068</w:t>
      </w:r>
    </w:p>
    <w:p w14:paraId="0670CC99"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Sinambela, E. A. &amp; D. Darmawan. (2021). Relevance of Email Marketing in the Contemporary Digital Marketing Communication Mix, Studi Ilmu Sosial Indonesia, 1(2), 301-324.</w:t>
      </w:r>
    </w:p>
    <w:p w14:paraId="3065C78D"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Sinambela, E. A. (2021). Peran Earning Per Share (EPS) dan Deviden Per Share (DPS) Terhadap Harga Saham. Journal of Trends Economics and Accounting Research, 2(1), 6-10.</w:t>
      </w:r>
    </w:p>
    <w:p w14:paraId="4BA52804" w14:textId="77777777" w:rsidR="002D2519" w:rsidRPr="0066272C" w:rsidRDefault="002D2519" w:rsidP="007D0806">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Sinambela, E. A., &amp; Aprilianti, E. T. (2013). Value based pricing sebagai pendekatan optimal dalam penentuan harga. Jurnal Ekonomi dan Bisnis, 3(1), 43–54.</w:t>
      </w:r>
    </w:p>
    <w:p w14:paraId="19FCF959"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Sinambela, E. A., &amp; Djaelani, M. (2021). Analisis Rancangan Perencanaan Biaya dengan Metode Perhitungan Biaya Nyata Pada Pelaksanaan Proyek Perumahan Sederhana. Journal of Trends Economics and Accounting Research, 2(2), 32-36.</w:t>
      </w:r>
    </w:p>
    <w:p w14:paraId="18F68148"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Undang Undang Nomor 20 Tahun 2001 tentang Pemberantasan Tindak Pidana Korupsi.</w:t>
      </w:r>
    </w:p>
    <w:p w14:paraId="43CA789A"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Undang Undang Nomor 8 Tahun 1999 tentang Perlindungan Konsumen.</w:t>
      </w:r>
    </w:p>
    <w:p w14:paraId="498196CB"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Velasquez, G., &amp; Boulet, P. (2000). Globalization and Access to Drugs: Perspectives from the WHO. Journal of International Development, 12(3), 377-388.</w:t>
      </w:r>
    </w:p>
    <w:p w14:paraId="0B82C457"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Wazana, A. (2000). Physicians and the Pharmaceutical Industry: Is a Gift Ever Just a Gift? Journal of the American Medical Association, 283(3), 373-380.</w:t>
      </w:r>
    </w:p>
    <w:p w14:paraId="32B2E1DF" w14:textId="77777777" w:rsidR="002D2519" w:rsidRPr="0066272C" w:rsidRDefault="002D2519" w:rsidP="00CB03D3">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Widnyana, I. M. A., &amp; Winia, I. N. (2024). Policy on Prohibition of Advertising Traditional Health Services Conducted by Traditional Healers in Bali. International Journal of Social Studies., 2(2). https://doi.org/10.25078/ijoss.v2i2.4380</w:t>
      </w:r>
    </w:p>
    <w:p w14:paraId="106D2D78" w14:textId="77777777" w:rsidR="00D67FAE" w:rsidRPr="0066272C" w:rsidRDefault="00235010" w:rsidP="00D67FAE">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Wisnujati, N. S., Masithoh, N., &amp; Mardikaningsih, R. (2014). Strategi Bauran Pemasaran dalam Praktik Usaha Mikro Kecil Menengah. Jurnal Ekonomi dan Bisnis, 4(1), 25–36</w:t>
      </w:r>
      <w:r w:rsidR="00D67FAE" w:rsidRPr="0066272C">
        <w:rPr>
          <w:rFonts w:ascii="Bookman Old Style" w:hAnsi="Bookman Old Style"/>
          <w:spacing w:val="-2"/>
          <w:sz w:val="24"/>
          <w:szCs w:val="24"/>
        </w:rPr>
        <w:t>.</w:t>
      </w:r>
    </w:p>
    <w:p w14:paraId="6085C3D4" w14:textId="687E78E4" w:rsidR="001F4B70" w:rsidRPr="0066272C" w:rsidRDefault="003F7C0D" w:rsidP="0066272C">
      <w:pPr>
        <w:spacing w:after="0" w:line="240" w:lineRule="auto"/>
        <w:ind w:left="567" w:hanging="567"/>
        <w:jc w:val="both"/>
        <w:rPr>
          <w:rFonts w:ascii="Bookman Old Style" w:hAnsi="Bookman Old Style"/>
          <w:spacing w:val="-2"/>
          <w:sz w:val="24"/>
          <w:szCs w:val="24"/>
        </w:rPr>
      </w:pPr>
      <w:r w:rsidRPr="0066272C">
        <w:rPr>
          <w:rFonts w:ascii="Bookman Old Style" w:hAnsi="Bookman Old Style"/>
          <w:spacing w:val="-2"/>
          <w:sz w:val="24"/>
          <w:szCs w:val="24"/>
        </w:rPr>
        <w:t>Vitrianingsih, Y., Safira, M. E., Khayru, R. K., &amp; Issalillah, F. (2023). Competition Law Implementation in the Herbal Industry to Prevent Adverse Practices for Businesses and Consumers. </w:t>
      </w:r>
      <w:r w:rsidRPr="0066272C">
        <w:rPr>
          <w:rFonts w:ascii="Bookman Old Style" w:hAnsi="Bookman Old Style"/>
          <w:i/>
          <w:iCs/>
          <w:spacing w:val="-2"/>
          <w:sz w:val="24"/>
          <w:szCs w:val="24"/>
        </w:rPr>
        <w:t>Journal of Social Science Studies</w:t>
      </w:r>
      <w:r w:rsidRPr="0066272C">
        <w:rPr>
          <w:rFonts w:ascii="Bookman Old Style" w:hAnsi="Bookman Old Style"/>
          <w:spacing w:val="-2"/>
          <w:sz w:val="24"/>
          <w:szCs w:val="24"/>
        </w:rPr>
        <w:t>, </w:t>
      </w:r>
      <w:r w:rsidRPr="0066272C">
        <w:rPr>
          <w:rFonts w:ascii="Bookman Old Style" w:hAnsi="Bookman Old Style"/>
          <w:i/>
          <w:iCs/>
          <w:spacing w:val="-2"/>
          <w:sz w:val="24"/>
          <w:szCs w:val="24"/>
        </w:rPr>
        <w:t>3</w:t>
      </w:r>
      <w:r w:rsidRPr="0066272C">
        <w:rPr>
          <w:rFonts w:ascii="Bookman Old Style" w:hAnsi="Bookman Old Style"/>
          <w:spacing w:val="-2"/>
          <w:sz w:val="24"/>
          <w:szCs w:val="24"/>
        </w:rPr>
        <w:t>(1), 133-138.</w:t>
      </w:r>
    </w:p>
    <w:sectPr w:rsidR="001F4B70" w:rsidRPr="0066272C" w:rsidSect="001C5E89">
      <w:headerReference w:type="default" r:id="rId6"/>
      <w:footerReference w:type="default" r:id="rId7"/>
      <w:pgSz w:w="11906" w:h="16838"/>
      <w:pgMar w:top="2268" w:right="1701" w:bottom="2268"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32CA" w14:textId="77777777" w:rsidR="002D71F8" w:rsidRDefault="002D71F8" w:rsidP="004B2ECB">
      <w:pPr>
        <w:spacing w:after="0" w:line="240" w:lineRule="auto"/>
      </w:pPr>
      <w:r>
        <w:separator/>
      </w:r>
    </w:p>
  </w:endnote>
  <w:endnote w:type="continuationSeparator" w:id="0">
    <w:p w14:paraId="1D2E99E1" w14:textId="77777777" w:rsidR="002D71F8" w:rsidRDefault="002D71F8" w:rsidP="004B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901029"/>
      <w:docPartObj>
        <w:docPartGallery w:val="Page Numbers (Bottom of Page)"/>
        <w:docPartUnique/>
      </w:docPartObj>
    </w:sdtPr>
    <w:sdtEndPr>
      <w:rPr>
        <w:rFonts w:ascii="Bookman Old Style" w:hAnsi="Bookman Old Style"/>
        <w:noProof/>
      </w:rPr>
    </w:sdtEndPr>
    <w:sdtContent>
      <w:p w14:paraId="51794D0E" w14:textId="1FE2FD4F" w:rsidR="001C5E89" w:rsidRPr="001C5E89" w:rsidRDefault="001C5E89">
        <w:pPr>
          <w:pStyle w:val="Footer"/>
          <w:jc w:val="center"/>
          <w:rPr>
            <w:rFonts w:ascii="Bookman Old Style" w:hAnsi="Bookman Old Style"/>
          </w:rPr>
        </w:pPr>
        <w:r w:rsidRPr="001C5E89">
          <w:rPr>
            <w:rFonts w:ascii="Bookman Old Style" w:hAnsi="Bookman Old Style"/>
          </w:rPr>
          <w:fldChar w:fldCharType="begin"/>
        </w:r>
        <w:r w:rsidRPr="001C5E89">
          <w:rPr>
            <w:rFonts w:ascii="Bookman Old Style" w:hAnsi="Bookman Old Style"/>
          </w:rPr>
          <w:instrText xml:space="preserve"> PAGE   \* MERGEFORMAT </w:instrText>
        </w:r>
        <w:r w:rsidRPr="001C5E89">
          <w:rPr>
            <w:rFonts w:ascii="Bookman Old Style" w:hAnsi="Bookman Old Style"/>
          </w:rPr>
          <w:fldChar w:fldCharType="separate"/>
        </w:r>
        <w:r w:rsidRPr="001C5E89">
          <w:rPr>
            <w:rFonts w:ascii="Bookman Old Style" w:hAnsi="Bookman Old Style"/>
            <w:noProof/>
          </w:rPr>
          <w:t>2</w:t>
        </w:r>
        <w:r w:rsidRPr="001C5E89">
          <w:rPr>
            <w:rFonts w:ascii="Bookman Old Style" w:hAnsi="Bookman Old Style"/>
            <w:noProof/>
          </w:rPr>
          <w:fldChar w:fldCharType="end"/>
        </w:r>
      </w:p>
    </w:sdtContent>
  </w:sdt>
  <w:p w14:paraId="282F8606" w14:textId="77777777" w:rsidR="001C5E89" w:rsidRDefault="001C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271" w14:textId="77777777" w:rsidR="002D71F8" w:rsidRDefault="002D71F8" w:rsidP="004B2ECB">
      <w:pPr>
        <w:spacing w:after="0" w:line="240" w:lineRule="auto"/>
      </w:pPr>
      <w:r>
        <w:separator/>
      </w:r>
    </w:p>
  </w:footnote>
  <w:footnote w:type="continuationSeparator" w:id="0">
    <w:p w14:paraId="61BAD6FA" w14:textId="77777777" w:rsidR="002D71F8" w:rsidRDefault="002D71F8" w:rsidP="004B2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EA43" w14:textId="172C2570" w:rsidR="00A47451" w:rsidRPr="00161B38" w:rsidRDefault="00A47451" w:rsidP="00A47451">
    <w:pPr>
      <w:pStyle w:val="Header"/>
      <w:jc w:val="right"/>
      <w:rPr>
        <w:rFonts w:ascii="Bookman Old Style" w:hAnsi="Bookman Old Style"/>
        <w:i/>
        <w:iCs/>
      </w:rPr>
    </w:pPr>
    <w:r w:rsidRPr="00161B38">
      <w:rPr>
        <w:rFonts w:ascii="Bookman Old Style" w:hAnsi="Bookman Old Style"/>
        <w:i/>
        <w:iCs/>
      </w:rPr>
      <w:t>Rafadi Khan Khayru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B1"/>
    <w:rsid w:val="000C1EC3"/>
    <w:rsid w:val="0015021B"/>
    <w:rsid w:val="00161B38"/>
    <w:rsid w:val="001A4A87"/>
    <w:rsid w:val="001B565F"/>
    <w:rsid w:val="001C5E89"/>
    <w:rsid w:val="001F1D2B"/>
    <w:rsid w:val="001F4B70"/>
    <w:rsid w:val="00212094"/>
    <w:rsid w:val="00235010"/>
    <w:rsid w:val="002638DE"/>
    <w:rsid w:val="002D2519"/>
    <w:rsid w:val="002D71F8"/>
    <w:rsid w:val="00382A02"/>
    <w:rsid w:val="003D0B78"/>
    <w:rsid w:val="003F7C0D"/>
    <w:rsid w:val="00411BAB"/>
    <w:rsid w:val="00413731"/>
    <w:rsid w:val="004337F0"/>
    <w:rsid w:val="004562F9"/>
    <w:rsid w:val="00467CC7"/>
    <w:rsid w:val="004B2ECB"/>
    <w:rsid w:val="004B386B"/>
    <w:rsid w:val="004B663E"/>
    <w:rsid w:val="005119AF"/>
    <w:rsid w:val="00512CCC"/>
    <w:rsid w:val="00555FAC"/>
    <w:rsid w:val="00597762"/>
    <w:rsid w:val="0066272C"/>
    <w:rsid w:val="006A1BB9"/>
    <w:rsid w:val="006D0335"/>
    <w:rsid w:val="006E299E"/>
    <w:rsid w:val="0075366F"/>
    <w:rsid w:val="007D0806"/>
    <w:rsid w:val="007D7377"/>
    <w:rsid w:val="00813BBF"/>
    <w:rsid w:val="00851462"/>
    <w:rsid w:val="008C1E82"/>
    <w:rsid w:val="00915B92"/>
    <w:rsid w:val="00916C7C"/>
    <w:rsid w:val="00925124"/>
    <w:rsid w:val="00975F2A"/>
    <w:rsid w:val="009865FB"/>
    <w:rsid w:val="009E34A7"/>
    <w:rsid w:val="00A24C8C"/>
    <w:rsid w:val="00A47451"/>
    <w:rsid w:val="00B02455"/>
    <w:rsid w:val="00B13AFE"/>
    <w:rsid w:val="00B67750"/>
    <w:rsid w:val="00B77BD2"/>
    <w:rsid w:val="00C320DC"/>
    <w:rsid w:val="00C813EF"/>
    <w:rsid w:val="00CB03D3"/>
    <w:rsid w:val="00D1667B"/>
    <w:rsid w:val="00D67FAE"/>
    <w:rsid w:val="00DC471D"/>
    <w:rsid w:val="00E22CB1"/>
    <w:rsid w:val="00E949E5"/>
    <w:rsid w:val="00F62B7D"/>
    <w:rsid w:val="00FF7D2A"/>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53D6"/>
  <w15:chartTrackingRefBased/>
  <w15:docId w15:val="{D0DC905B-7556-42E3-85B3-BA5C6232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CB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22CB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22CB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22C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C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CB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22CB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22CB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22C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C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CB1"/>
    <w:rPr>
      <w:rFonts w:eastAsiaTheme="majorEastAsia" w:cstheme="majorBidi"/>
      <w:color w:val="272727" w:themeColor="text1" w:themeTint="D8"/>
    </w:rPr>
  </w:style>
  <w:style w:type="paragraph" w:styleId="Title">
    <w:name w:val="Title"/>
    <w:basedOn w:val="Normal"/>
    <w:next w:val="Normal"/>
    <w:link w:val="TitleChar"/>
    <w:uiPriority w:val="10"/>
    <w:qFormat/>
    <w:rsid w:val="00E22CB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2CB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2CB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2CB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2CB1"/>
    <w:pPr>
      <w:spacing w:before="160"/>
      <w:jc w:val="center"/>
    </w:pPr>
    <w:rPr>
      <w:i/>
      <w:iCs/>
      <w:color w:val="404040" w:themeColor="text1" w:themeTint="BF"/>
    </w:rPr>
  </w:style>
  <w:style w:type="character" w:customStyle="1" w:styleId="QuoteChar">
    <w:name w:val="Quote Char"/>
    <w:basedOn w:val="DefaultParagraphFont"/>
    <w:link w:val="Quote"/>
    <w:uiPriority w:val="29"/>
    <w:rsid w:val="00E22CB1"/>
    <w:rPr>
      <w:i/>
      <w:iCs/>
      <w:color w:val="404040" w:themeColor="text1" w:themeTint="BF"/>
    </w:rPr>
  </w:style>
  <w:style w:type="paragraph" w:styleId="ListParagraph">
    <w:name w:val="List Paragraph"/>
    <w:basedOn w:val="Normal"/>
    <w:uiPriority w:val="34"/>
    <w:qFormat/>
    <w:rsid w:val="00E22CB1"/>
    <w:pPr>
      <w:ind w:left="720"/>
      <w:contextualSpacing/>
    </w:pPr>
  </w:style>
  <w:style w:type="character" w:styleId="IntenseEmphasis">
    <w:name w:val="Intense Emphasis"/>
    <w:basedOn w:val="DefaultParagraphFont"/>
    <w:uiPriority w:val="21"/>
    <w:qFormat/>
    <w:rsid w:val="00E22CB1"/>
    <w:rPr>
      <w:i/>
      <w:iCs/>
      <w:color w:val="2F5496" w:themeColor="accent1" w:themeShade="BF"/>
    </w:rPr>
  </w:style>
  <w:style w:type="paragraph" w:styleId="IntenseQuote">
    <w:name w:val="Intense Quote"/>
    <w:basedOn w:val="Normal"/>
    <w:next w:val="Normal"/>
    <w:link w:val="IntenseQuoteChar"/>
    <w:uiPriority w:val="30"/>
    <w:qFormat/>
    <w:rsid w:val="00E22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CB1"/>
    <w:rPr>
      <w:i/>
      <w:iCs/>
      <w:color w:val="2F5496" w:themeColor="accent1" w:themeShade="BF"/>
    </w:rPr>
  </w:style>
  <w:style w:type="character" w:styleId="IntenseReference">
    <w:name w:val="Intense Reference"/>
    <w:basedOn w:val="DefaultParagraphFont"/>
    <w:uiPriority w:val="32"/>
    <w:qFormat/>
    <w:rsid w:val="00E22CB1"/>
    <w:rPr>
      <w:b/>
      <w:bCs/>
      <w:smallCaps/>
      <w:color w:val="2F5496" w:themeColor="accent1" w:themeShade="BF"/>
      <w:spacing w:val="5"/>
    </w:rPr>
  </w:style>
  <w:style w:type="paragraph" w:styleId="Header">
    <w:name w:val="header"/>
    <w:basedOn w:val="Normal"/>
    <w:link w:val="HeaderChar"/>
    <w:uiPriority w:val="99"/>
    <w:unhideWhenUsed/>
    <w:rsid w:val="004B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ECB"/>
  </w:style>
  <w:style w:type="paragraph" w:styleId="Footer">
    <w:name w:val="footer"/>
    <w:basedOn w:val="Normal"/>
    <w:link w:val="FooterChar"/>
    <w:uiPriority w:val="99"/>
    <w:unhideWhenUsed/>
    <w:rsid w:val="004B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ECB"/>
  </w:style>
  <w:style w:type="character" w:styleId="Hyperlink">
    <w:name w:val="Hyperlink"/>
    <w:basedOn w:val="DefaultParagraphFont"/>
    <w:uiPriority w:val="99"/>
    <w:unhideWhenUsed/>
    <w:rsid w:val="001F1D2B"/>
    <w:rPr>
      <w:color w:val="0563C1" w:themeColor="hyperlink"/>
      <w:u w:val="single"/>
    </w:rPr>
  </w:style>
  <w:style w:type="character" w:styleId="UnresolvedMention">
    <w:name w:val="Unresolved Mention"/>
    <w:basedOn w:val="DefaultParagraphFont"/>
    <w:uiPriority w:val="99"/>
    <w:semiHidden/>
    <w:unhideWhenUsed/>
    <w:rsid w:val="001F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prof.diditdarmawan@outlook.com</dc:creator>
  <cp:keywords/>
  <dc:description/>
  <cp:lastModifiedBy>T6PTCJ00P15425A@outlook.com</cp:lastModifiedBy>
  <cp:revision>45</cp:revision>
  <dcterms:created xsi:type="dcterms:W3CDTF">2026-05-28T23:25:00Z</dcterms:created>
  <dcterms:modified xsi:type="dcterms:W3CDTF">2026-05-29T11:01:00Z</dcterms:modified>
</cp:coreProperties>
</file>